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b/>
          <w:sz w:val="36"/>
          <w:szCs w:val="36"/>
        </w:rPr>
      </w:pPr>
    </w:p>
    <w:p>
      <w:pPr>
        <w:ind w:firstLine="0" w:firstLineChars="0"/>
        <w:jc w:val="center"/>
        <w:rPr>
          <w:b/>
          <w:sz w:val="36"/>
          <w:szCs w:val="36"/>
        </w:rPr>
      </w:pPr>
    </w:p>
    <w:p>
      <w:pPr>
        <w:ind w:firstLine="0" w:firstLineChars="0"/>
        <w:jc w:val="center"/>
        <w:rPr>
          <w:rFonts w:hint="default" w:ascii="Times New Roman" w:hAnsi="Times New Roman"/>
          <w:b/>
          <w:sz w:val="56"/>
          <w:szCs w:val="56"/>
          <w:lang w:val="en-US" w:eastAsia="zh-CN"/>
        </w:rPr>
      </w:pPr>
      <w:r>
        <w:rPr>
          <w:rFonts w:hint="default" w:ascii="Times New Roman" w:hAnsi="Times New Roman"/>
          <w:b/>
          <w:sz w:val="56"/>
          <w:szCs w:val="56"/>
          <w:lang w:val="en-US" w:eastAsia="zh-CN"/>
        </w:rPr>
        <w:t>利用年产1000吨1-（4-氯苯</w:t>
      </w:r>
    </w:p>
    <w:p>
      <w:pPr>
        <w:ind w:firstLine="0" w:firstLineChars="0"/>
        <w:jc w:val="center"/>
        <w:rPr>
          <w:rFonts w:hint="default" w:ascii="Times New Roman" w:hAnsi="Times New Roman"/>
          <w:b/>
          <w:sz w:val="56"/>
          <w:szCs w:val="56"/>
          <w:lang w:val="en-US" w:eastAsia="zh-CN"/>
        </w:rPr>
      </w:pPr>
      <w:r>
        <w:rPr>
          <w:rFonts w:hint="default" w:ascii="Times New Roman" w:hAnsi="Times New Roman"/>
          <w:b/>
          <w:sz w:val="56"/>
          <w:szCs w:val="56"/>
          <w:lang w:val="en-US" w:eastAsia="zh-CN"/>
        </w:rPr>
        <w:t>基）-3-吡唑醇生产装置改造</w:t>
      </w:r>
    </w:p>
    <w:p>
      <w:pPr>
        <w:ind w:firstLine="0" w:firstLineChars="0"/>
        <w:jc w:val="center"/>
        <w:rPr>
          <w:rFonts w:hint="default" w:ascii="Times New Roman" w:hAnsi="Times New Roman"/>
          <w:b/>
          <w:sz w:val="56"/>
          <w:szCs w:val="56"/>
          <w:lang w:val="en-US" w:eastAsia="zh-CN"/>
        </w:rPr>
      </w:pPr>
      <w:r>
        <w:rPr>
          <w:rFonts w:hint="default" w:ascii="Times New Roman" w:hAnsi="Times New Roman"/>
          <w:b/>
          <w:sz w:val="56"/>
          <w:szCs w:val="56"/>
          <w:lang w:val="en-US" w:eastAsia="zh-CN"/>
        </w:rPr>
        <w:t>生产（取代）苯基单异氰</w:t>
      </w:r>
    </w:p>
    <w:p>
      <w:pPr>
        <w:ind w:firstLine="0" w:firstLineChars="0"/>
        <w:jc w:val="center"/>
        <w:rPr>
          <w:rFonts w:hint="default" w:ascii="Times New Roman" w:hAnsi="Times New Roman"/>
          <w:b/>
          <w:sz w:val="56"/>
          <w:szCs w:val="56"/>
          <w:lang w:eastAsia="zh-CN"/>
        </w:rPr>
      </w:pPr>
      <w:r>
        <w:rPr>
          <w:rFonts w:hint="default" w:ascii="Times New Roman" w:hAnsi="Times New Roman"/>
          <w:b/>
          <w:sz w:val="56"/>
          <w:szCs w:val="56"/>
          <w:lang w:val="en-US" w:eastAsia="zh-CN"/>
        </w:rPr>
        <w:t>酸酯系列</w:t>
      </w:r>
      <w:r>
        <w:rPr>
          <w:rFonts w:hint="default" w:ascii="Times New Roman" w:hAnsi="Times New Roman"/>
          <w:b/>
          <w:sz w:val="56"/>
          <w:szCs w:val="56"/>
          <w:lang w:eastAsia="zh-CN"/>
        </w:rPr>
        <w:t>产品及甲基</w:t>
      </w:r>
    </w:p>
    <w:p>
      <w:pPr>
        <w:ind w:firstLine="0" w:firstLineChars="0"/>
        <w:jc w:val="center"/>
        <w:rPr>
          <w:rFonts w:hint="default" w:ascii="Times New Roman" w:hAnsi="Times New Roman"/>
          <w:b/>
          <w:sz w:val="56"/>
          <w:szCs w:val="56"/>
          <w:lang w:eastAsia="zh-CN"/>
        </w:rPr>
      </w:pPr>
      <w:r>
        <w:rPr>
          <w:rFonts w:hint="default" w:ascii="Times New Roman" w:hAnsi="Times New Roman"/>
          <w:b/>
          <w:sz w:val="56"/>
          <w:szCs w:val="56"/>
          <w:lang w:eastAsia="zh-CN"/>
        </w:rPr>
        <w:t>丙烯酸缩水甘油酯</w:t>
      </w:r>
    </w:p>
    <w:p>
      <w:pPr>
        <w:ind w:firstLine="0" w:firstLineChars="0"/>
        <w:jc w:val="center"/>
        <w:rPr>
          <w:rFonts w:hint="eastAsia" w:ascii="Times New Roman" w:hAnsi="Times New Roman"/>
          <w:b/>
          <w:sz w:val="56"/>
          <w:szCs w:val="56"/>
          <w:lang w:eastAsia="zh-CN"/>
        </w:rPr>
      </w:pPr>
      <w:r>
        <w:rPr>
          <w:rFonts w:hint="default" w:ascii="Times New Roman" w:hAnsi="Times New Roman"/>
          <w:b/>
          <w:sz w:val="56"/>
          <w:szCs w:val="56"/>
          <w:lang w:eastAsia="zh-CN"/>
        </w:rPr>
        <w:t>（</w:t>
      </w:r>
      <w:r>
        <w:rPr>
          <w:rFonts w:hint="default" w:ascii="Times New Roman" w:hAnsi="Times New Roman"/>
          <w:b/>
          <w:sz w:val="56"/>
          <w:szCs w:val="56"/>
          <w:lang w:val="en-US" w:eastAsia="zh-CN"/>
        </w:rPr>
        <w:t>GMA</w:t>
      </w:r>
      <w:r>
        <w:rPr>
          <w:rFonts w:hint="default" w:ascii="Times New Roman" w:hAnsi="Times New Roman"/>
          <w:b/>
          <w:sz w:val="56"/>
          <w:szCs w:val="56"/>
          <w:lang w:eastAsia="zh-CN"/>
        </w:rPr>
        <w:t>）产品项目</w:t>
      </w:r>
    </w:p>
    <w:p>
      <w:pPr>
        <w:ind w:firstLine="0" w:firstLineChars="0"/>
        <w:jc w:val="center"/>
        <w:rPr>
          <w:rFonts w:hint="eastAsia"/>
          <w:b/>
          <w:sz w:val="56"/>
          <w:szCs w:val="56"/>
          <w:lang w:eastAsia="zh-CN"/>
        </w:rPr>
      </w:pPr>
    </w:p>
    <w:p>
      <w:pPr>
        <w:ind w:firstLine="0" w:firstLineChars="0"/>
        <w:jc w:val="center"/>
        <w:rPr>
          <w:b/>
          <w:sz w:val="36"/>
          <w:szCs w:val="36"/>
        </w:rPr>
      </w:pPr>
    </w:p>
    <w:p>
      <w:pPr>
        <w:ind w:firstLine="0" w:firstLineChars="0"/>
        <w:jc w:val="center"/>
        <w:rPr>
          <w:rFonts w:hint="eastAsia"/>
          <w:b/>
          <w:sz w:val="56"/>
          <w:szCs w:val="56"/>
          <w:lang w:eastAsia="zh-CN"/>
        </w:rPr>
      </w:pPr>
      <w:bookmarkStart w:id="0" w:name="_Toc2431"/>
      <w:r>
        <w:rPr>
          <w:rFonts w:hint="eastAsia"/>
          <w:b/>
          <w:sz w:val="56"/>
          <w:szCs w:val="56"/>
          <w:lang w:eastAsia="zh-CN"/>
        </w:rPr>
        <w:t>环境影响评价公众参与说明</w:t>
      </w:r>
      <w:bookmarkEnd w:id="0"/>
    </w:p>
    <w:p>
      <w:pPr>
        <w:ind w:firstLine="0" w:firstLineChars="0"/>
        <w:jc w:val="center"/>
        <w:rPr>
          <w:b/>
          <w:sz w:val="36"/>
          <w:szCs w:val="36"/>
        </w:rPr>
      </w:pPr>
    </w:p>
    <w:p>
      <w:pPr>
        <w:ind w:firstLine="0" w:firstLineChars="0"/>
        <w:jc w:val="center"/>
        <w:rPr>
          <w:b/>
          <w:sz w:val="36"/>
          <w:szCs w:val="36"/>
        </w:rPr>
      </w:pPr>
    </w:p>
    <w:p>
      <w:pPr>
        <w:ind w:firstLine="0" w:firstLineChars="0"/>
        <w:jc w:val="center"/>
        <w:rPr>
          <w:b/>
          <w:sz w:val="36"/>
          <w:szCs w:val="36"/>
        </w:rPr>
      </w:pPr>
    </w:p>
    <w:p>
      <w:pPr>
        <w:ind w:firstLine="0" w:firstLineChars="0"/>
        <w:jc w:val="center"/>
        <w:rPr>
          <w:b/>
          <w:sz w:val="36"/>
          <w:szCs w:val="36"/>
        </w:rPr>
      </w:pPr>
    </w:p>
    <w:p>
      <w:pPr>
        <w:spacing w:line="720" w:lineRule="auto"/>
        <w:ind w:firstLine="0" w:firstLineChars="0"/>
        <w:jc w:val="center"/>
        <w:rPr>
          <w:rFonts w:hint="eastAsia"/>
          <w:b/>
          <w:sz w:val="36"/>
          <w:szCs w:val="36"/>
          <w:lang w:eastAsia="zh-CN"/>
        </w:rPr>
      </w:pPr>
      <w:r>
        <w:rPr>
          <w:rFonts w:hint="eastAsia"/>
          <w:b/>
          <w:sz w:val="36"/>
          <w:szCs w:val="36"/>
          <w:lang w:eastAsia="zh-CN"/>
        </w:rPr>
        <w:t>编制</w:t>
      </w:r>
      <w:r>
        <w:rPr>
          <w:rFonts w:hint="eastAsia"/>
          <w:b/>
          <w:sz w:val="36"/>
          <w:szCs w:val="36"/>
        </w:rPr>
        <w:t>单位：</w:t>
      </w:r>
      <w:r>
        <w:rPr>
          <w:rFonts w:hint="eastAsia" w:ascii="Times New Roman" w:hAnsi="Times New Roman"/>
          <w:b/>
          <w:sz w:val="36"/>
          <w:szCs w:val="36"/>
          <w:lang w:val="en-US" w:eastAsia="zh-CN"/>
        </w:rPr>
        <w:t>葫芦岛天启晟业化工有限公司</w:t>
      </w:r>
    </w:p>
    <w:p>
      <w:pPr>
        <w:spacing w:line="720" w:lineRule="auto"/>
        <w:ind w:firstLine="0" w:firstLineChars="0"/>
        <w:jc w:val="center"/>
        <w:rPr>
          <w:rFonts w:hint="eastAsia"/>
          <w:b/>
          <w:color w:val="auto"/>
          <w:sz w:val="36"/>
          <w:szCs w:val="36"/>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eastAsia"/>
          <w:b/>
          <w:color w:val="auto"/>
          <w:sz w:val="36"/>
          <w:szCs w:val="36"/>
        </w:rPr>
        <w:t>20</w:t>
      </w:r>
      <w:r>
        <w:rPr>
          <w:rFonts w:hint="eastAsia"/>
          <w:b/>
          <w:color w:val="auto"/>
          <w:sz w:val="36"/>
          <w:szCs w:val="36"/>
          <w:lang w:val="en-US" w:eastAsia="zh-CN"/>
        </w:rPr>
        <w:t>23</w:t>
      </w:r>
      <w:r>
        <w:rPr>
          <w:rFonts w:hint="eastAsia"/>
          <w:b/>
          <w:color w:val="auto"/>
          <w:sz w:val="36"/>
          <w:szCs w:val="36"/>
        </w:rPr>
        <w:t xml:space="preserve">年 </w:t>
      </w:r>
      <w:r>
        <w:rPr>
          <w:rFonts w:hint="eastAsia"/>
          <w:b/>
          <w:color w:val="auto"/>
          <w:sz w:val="36"/>
          <w:szCs w:val="36"/>
          <w:lang w:val="en-US" w:eastAsia="zh-CN"/>
        </w:rPr>
        <w:t>4</w:t>
      </w:r>
      <w:r>
        <w:rPr>
          <w:rFonts w:hint="eastAsia"/>
          <w:b/>
          <w:color w:val="auto"/>
          <w:sz w:val="36"/>
          <w:szCs w:val="36"/>
        </w:rPr>
        <w:t>月</w:t>
      </w:r>
    </w:p>
    <w:p>
      <w:pPr>
        <w:spacing w:beforeLines="100"/>
        <w:ind w:firstLine="0" w:firstLineChars="0"/>
        <w:jc w:val="center"/>
        <w:rPr>
          <w:b/>
          <w:sz w:val="36"/>
          <w:szCs w:val="36"/>
          <w:highlight w:val="none"/>
        </w:rPr>
      </w:pPr>
      <w:r>
        <w:rPr>
          <w:rFonts w:hint="eastAsia"/>
          <w:b/>
          <w:sz w:val="36"/>
          <w:szCs w:val="36"/>
          <w:highlight w:val="none"/>
        </w:rPr>
        <w:t>目  录</w:t>
      </w:r>
    </w:p>
    <w:p>
      <w:pPr>
        <w:pStyle w:val="18"/>
        <w:tabs>
          <w:tab w:val="right" w:leader="dot" w:pos="8306"/>
          <w:tab w:val="clear" w:pos="8296"/>
        </w:tabs>
      </w:pPr>
      <w:r>
        <w:fldChar w:fldCharType="begin"/>
      </w:r>
      <w:r>
        <w:instrText xml:space="preserve">TOC \o "1-2" \h \u </w:instrText>
      </w:r>
      <w:r>
        <w:fldChar w:fldCharType="separate"/>
      </w:r>
      <w:r>
        <w:fldChar w:fldCharType="begin"/>
      </w:r>
      <w:r>
        <w:instrText xml:space="preserve"> HYPERLINK \l _Toc15682 </w:instrText>
      </w:r>
      <w:r>
        <w:fldChar w:fldCharType="separate"/>
      </w:r>
      <w:r>
        <w:rPr>
          <w:rFonts w:hint="default"/>
        </w:rPr>
        <w:t xml:space="preserve">1. </w:t>
      </w:r>
      <w:r>
        <w:rPr>
          <w:rFonts w:hint="eastAsia"/>
        </w:rPr>
        <w:t>概述</w:t>
      </w:r>
      <w:r>
        <w:tab/>
      </w:r>
      <w:r>
        <w:fldChar w:fldCharType="begin"/>
      </w:r>
      <w:r>
        <w:instrText xml:space="preserve"> PAGEREF _Toc15682 \h </w:instrText>
      </w:r>
      <w:r>
        <w:fldChar w:fldCharType="separate"/>
      </w:r>
      <w:r>
        <w:t>- 1 -</w:t>
      </w:r>
      <w:r>
        <w:fldChar w:fldCharType="end"/>
      </w:r>
      <w:r>
        <w:fldChar w:fldCharType="end"/>
      </w:r>
    </w:p>
    <w:p>
      <w:pPr>
        <w:pStyle w:val="19"/>
        <w:tabs>
          <w:tab w:val="right" w:leader="dot" w:pos="8306"/>
        </w:tabs>
      </w:pPr>
      <w:r>
        <w:fldChar w:fldCharType="begin"/>
      </w:r>
      <w:r>
        <w:instrText xml:space="preserve"> HYPERLINK \l _Toc1488 </w:instrText>
      </w:r>
      <w:r>
        <w:fldChar w:fldCharType="separate"/>
      </w:r>
      <w:r>
        <w:rPr>
          <w:rFonts w:hint="default"/>
        </w:rPr>
        <w:t xml:space="preserve">1.1. </w:t>
      </w:r>
      <w:r>
        <w:rPr>
          <w:rFonts w:hint="eastAsia"/>
          <w:lang w:eastAsia="zh-CN"/>
        </w:rPr>
        <w:t>公众参与</w:t>
      </w:r>
      <w:r>
        <w:rPr>
          <w:rFonts w:hint="eastAsia"/>
        </w:rPr>
        <w:t>目的</w:t>
      </w:r>
      <w:r>
        <w:tab/>
      </w:r>
      <w:r>
        <w:fldChar w:fldCharType="begin"/>
      </w:r>
      <w:r>
        <w:instrText xml:space="preserve"> PAGEREF _Toc1488 \h </w:instrText>
      </w:r>
      <w:r>
        <w:fldChar w:fldCharType="separate"/>
      </w:r>
      <w:r>
        <w:t>- 1 -</w:t>
      </w:r>
      <w:r>
        <w:fldChar w:fldCharType="end"/>
      </w:r>
      <w:r>
        <w:fldChar w:fldCharType="end"/>
      </w:r>
    </w:p>
    <w:p>
      <w:pPr>
        <w:pStyle w:val="19"/>
        <w:tabs>
          <w:tab w:val="right" w:leader="dot" w:pos="8306"/>
        </w:tabs>
      </w:pPr>
      <w:r>
        <w:fldChar w:fldCharType="begin"/>
      </w:r>
      <w:r>
        <w:instrText xml:space="preserve"> HYPERLINK \l _Toc7339 </w:instrText>
      </w:r>
      <w:r>
        <w:fldChar w:fldCharType="separate"/>
      </w:r>
      <w:r>
        <w:rPr>
          <w:rFonts w:hint="default"/>
        </w:rPr>
        <w:t xml:space="preserve">1.2. </w:t>
      </w:r>
      <w:r>
        <w:rPr>
          <w:rFonts w:hint="eastAsia"/>
        </w:rPr>
        <w:t>公众参与调查的原则</w:t>
      </w:r>
      <w:r>
        <w:tab/>
      </w:r>
      <w:r>
        <w:fldChar w:fldCharType="begin"/>
      </w:r>
      <w:r>
        <w:instrText xml:space="preserve"> PAGEREF _Toc7339 \h </w:instrText>
      </w:r>
      <w:r>
        <w:fldChar w:fldCharType="separate"/>
      </w:r>
      <w:r>
        <w:t>- 1 -</w:t>
      </w:r>
      <w:r>
        <w:fldChar w:fldCharType="end"/>
      </w:r>
      <w:r>
        <w:fldChar w:fldCharType="end"/>
      </w:r>
    </w:p>
    <w:p>
      <w:pPr>
        <w:pStyle w:val="19"/>
        <w:tabs>
          <w:tab w:val="right" w:leader="dot" w:pos="8306"/>
        </w:tabs>
      </w:pPr>
      <w:r>
        <w:fldChar w:fldCharType="begin"/>
      </w:r>
      <w:r>
        <w:instrText xml:space="preserve"> HYPERLINK \l _Toc4470 </w:instrText>
      </w:r>
      <w:r>
        <w:fldChar w:fldCharType="separate"/>
      </w:r>
      <w:r>
        <w:rPr>
          <w:rFonts w:hint="default"/>
        </w:rPr>
        <w:t xml:space="preserve">1.3. </w:t>
      </w:r>
      <w:r>
        <w:rPr>
          <w:rFonts w:hint="eastAsia"/>
        </w:rPr>
        <w:t>公众参与调查范围</w:t>
      </w:r>
      <w:r>
        <w:tab/>
      </w:r>
      <w:r>
        <w:fldChar w:fldCharType="begin"/>
      </w:r>
      <w:r>
        <w:instrText xml:space="preserve"> PAGEREF _Toc4470 \h </w:instrText>
      </w:r>
      <w:r>
        <w:fldChar w:fldCharType="separate"/>
      </w:r>
      <w:r>
        <w:t>- 2 -</w:t>
      </w:r>
      <w:r>
        <w:fldChar w:fldCharType="end"/>
      </w:r>
      <w:r>
        <w:fldChar w:fldCharType="end"/>
      </w:r>
    </w:p>
    <w:p>
      <w:pPr>
        <w:pStyle w:val="19"/>
        <w:tabs>
          <w:tab w:val="right" w:leader="dot" w:pos="8306"/>
        </w:tabs>
      </w:pPr>
      <w:r>
        <w:fldChar w:fldCharType="begin"/>
      </w:r>
      <w:r>
        <w:instrText xml:space="preserve"> HYPERLINK \l _Toc9772 </w:instrText>
      </w:r>
      <w:r>
        <w:fldChar w:fldCharType="separate"/>
      </w:r>
      <w:r>
        <w:rPr>
          <w:rFonts w:hint="default"/>
        </w:rPr>
        <w:t xml:space="preserve">1.4. </w:t>
      </w:r>
      <w:r>
        <w:rPr>
          <w:rFonts w:hint="eastAsia"/>
        </w:rPr>
        <w:t>公众参与形式</w:t>
      </w:r>
      <w:r>
        <w:tab/>
      </w:r>
      <w:r>
        <w:fldChar w:fldCharType="begin"/>
      </w:r>
      <w:r>
        <w:instrText xml:space="preserve"> PAGEREF _Toc9772 \h </w:instrText>
      </w:r>
      <w:r>
        <w:fldChar w:fldCharType="separate"/>
      </w:r>
      <w:r>
        <w:t>- 2 -</w:t>
      </w:r>
      <w:r>
        <w:fldChar w:fldCharType="end"/>
      </w:r>
      <w:r>
        <w:fldChar w:fldCharType="end"/>
      </w:r>
    </w:p>
    <w:p>
      <w:pPr>
        <w:pStyle w:val="18"/>
        <w:tabs>
          <w:tab w:val="right" w:leader="dot" w:pos="8306"/>
          <w:tab w:val="clear" w:pos="8296"/>
        </w:tabs>
      </w:pPr>
      <w:r>
        <w:fldChar w:fldCharType="begin"/>
      </w:r>
      <w:r>
        <w:instrText xml:space="preserve"> HYPERLINK \l _Toc3382 </w:instrText>
      </w:r>
      <w:r>
        <w:fldChar w:fldCharType="separate"/>
      </w:r>
      <w:r>
        <w:rPr>
          <w:rFonts w:hint="default"/>
          <w:lang w:eastAsia="zh-CN"/>
        </w:rPr>
        <w:t xml:space="preserve">2. </w:t>
      </w:r>
      <w:r>
        <w:rPr>
          <w:rFonts w:hint="eastAsia"/>
          <w:lang w:eastAsia="zh-CN"/>
        </w:rPr>
        <w:t>首次环境影响评价信息公开</w:t>
      </w:r>
      <w:r>
        <w:tab/>
      </w:r>
      <w:r>
        <w:fldChar w:fldCharType="begin"/>
      </w:r>
      <w:r>
        <w:instrText xml:space="preserve"> PAGEREF _Toc3382 \h </w:instrText>
      </w:r>
      <w:r>
        <w:fldChar w:fldCharType="separate"/>
      </w:r>
      <w:r>
        <w:t>- 3 -</w:t>
      </w:r>
      <w:r>
        <w:fldChar w:fldCharType="end"/>
      </w:r>
      <w:r>
        <w:fldChar w:fldCharType="end"/>
      </w:r>
    </w:p>
    <w:p>
      <w:pPr>
        <w:pStyle w:val="19"/>
        <w:tabs>
          <w:tab w:val="right" w:leader="dot" w:pos="8306"/>
        </w:tabs>
      </w:pPr>
      <w:r>
        <w:fldChar w:fldCharType="begin"/>
      </w:r>
      <w:r>
        <w:instrText xml:space="preserve"> HYPERLINK \l _Toc14272 </w:instrText>
      </w:r>
      <w:r>
        <w:fldChar w:fldCharType="separate"/>
      </w:r>
      <w:r>
        <w:rPr>
          <w:rFonts w:hint="default"/>
          <w:lang w:eastAsia="zh-CN"/>
        </w:rPr>
        <w:t xml:space="preserve">2.1. </w:t>
      </w:r>
      <w:r>
        <w:rPr>
          <w:rFonts w:hint="eastAsia"/>
          <w:lang w:eastAsia="zh-CN"/>
        </w:rPr>
        <w:t>首次环境影响评价信息公开内容及时限</w:t>
      </w:r>
      <w:r>
        <w:tab/>
      </w:r>
      <w:r>
        <w:fldChar w:fldCharType="begin"/>
      </w:r>
      <w:r>
        <w:instrText xml:space="preserve"> PAGEREF _Toc14272 \h </w:instrText>
      </w:r>
      <w:r>
        <w:fldChar w:fldCharType="separate"/>
      </w:r>
      <w:r>
        <w:t>- 3 -</w:t>
      </w:r>
      <w:r>
        <w:fldChar w:fldCharType="end"/>
      </w:r>
      <w:r>
        <w:fldChar w:fldCharType="end"/>
      </w:r>
    </w:p>
    <w:p>
      <w:pPr>
        <w:pStyle w:val="19"/>
        <w:tabs>
          <w:tab w:val="right" w:leader="dot" w:pos="8306"/>
        </w:tabs>
      </w:pPr>
      <w:r>
        <w:fldChar w:fldCharType="begin"/>
      </w:r>
      <w:r>
        <w:instrText xml:space="preserve"> HYPERLINK \l _Toc6861 </w:instrText>
      </w:r>
      <w:r>
        <w:fldChar w:fldCharType="separate"/>
      </w:r>
      <w:r>
        <w:rPr>
          <w:rFonts w:hint="default"/>
          <w:lang w:val="en-US" w:eastAsia="zh-CN"/>
        </w:rPr>
        <w:t xml:space="preserve">2.2. </w:t>
      </w:r>
      <w:r>
        <w:rPr>
          <w:rFonts w:hint="eastAsia"/>
          <w:lang w:val="en-US" w:eastAsia="zh-CN"/>
        </w:rPr>
        <w:t>首次信息公开方式</w:t>
      </w:r>
      <w:r>
        <w:tab/>
      </w:r>
      <w:r>
        <w:fldChar w:fldCharType="begin"/>
      </w:r>
      <w:r>
        <w:instrText xml:space="preserve"> PAGEREF _Toc6861 \h </w:instrText>
      </w:r>
      <w:r>
        <w:fldChar w:fldCharType="separate"/>
      </w:r>
      <w:r>
        <w:t>- 4 -</w:t>
      </w:r>
      <w:r>
        <w:fldChar w:fldCharType="end"/>
      </w:r>
      <w:r>
        <w:fldChar w:fldCharType="end"/>
      </w:r>
    </w:p>
    <w:p>
      <w:pPr>
        <w:pStyle w:val="19"/>
        <w:tabs>
          <w:tab w:val="right" w:leader="dot" w:pos="8306"/>
        </w:tabs>
      </w:pPr>
      <w:r>
        <w:fldChar w:fldCharType="begin"/>
      </w:r>
      <w:r>
        <w:instrText xml:space="preserve"> HYPERLINK \l _Toc28440 </w:instrText>
      </w:r>
      <w:r>
        <w:fldChar w:fldCharType="separate"/>
      </w:r>
      <w:r>
        <w:rPr>
          <w:rFonts w:hint="default"/>
          <w:lang w:eastAsia="zh-CN"/>
        </w:rPr>
        <w:t xml:space="preserve">2.3. </w:t>
      </w:r>
      <w:r>
        <w:rPr>
          <w:rFonts w:hint="eastAsia"/>
          <w:lang w:eastAsia="zh-CN"/>
        </w:rPr>
        <w:t>首次信息公开公众意见情况</w:t>
      </w:r>
      <w:r>
        <w:tab/>
      </w:r>
      <w:r>
        <w:fldChar w:fldCharType="begin"/>
      </w:r>
      <w:r>
        <w:instrText xml:space="preserve"> PAGEREF _Toc28440 \h </w:instrText>
      </w:r>
      <w:r>
        <w:fldChar w:fldCharType="separate"/>
      </w:r>
      <w:r>
        <w:t>- 5 -</w:t>
      </w:r>
      <w:r>
        <w:fldChar w:fldCharType="end"/>
      </w:r>
      <w:r>
        <w:fldChar w:fldCharType="end"/>
      </w:r>
    </w:p>
    <w:p>
      <w:pPr>
        <w:pStyle w:val="18"/>
        <w:tabs>
          <w:tab w:val="right" w:leader="dot" w:pos="8306"/>
          <w:tab w:val="clear" w:pos="8296"/>
        </w:tabs>
      </w:pPr>
      <w:r>
        <w:fldChar w:fldCharType="begin"/>
      </w:r>
      <w:r>
        <w:instrText xml:space="preserve"> HYPERLINK \l _Toc18838 </w:instrText>
      </w:r>
      <w:r>
        <w:fldChar w:fldCharType="separate"/>
      </w:r>
      <w:r>
        <w:rPr>
          <w:rFonts w:hint="default"/>
        </w:rPr>
        <w:t xml:space="preserve">3. </w:t>
      </w:r>
      <w:r>
        <w:rPr>
          <w:rFonts w:hint="eastAsia"/>
        </w:rPr>
        <w:t>征求意见稿公示情况</w:t>
      </w:r>
      <w:r>
        <w:tab/>
      </w:r>
      <w:r>
        <w:fldChar w:fldCharType="begin"/>
      </w:r>
      <w:r>
        <w:instrText xml:space="preserve"> PAGEREF _Toc18838 \h </w:instrText>
      </w:r>
      <w:r>
        <w:fldChar w:fldCharType="separate"/>
      </w:r>
      <w:r>
        <w:t>- 6 -</w:t>
      </w:r>
      <w:r>
        <w:fldChar w:fldCharType="end"/>
      </w:r>
      <w:r>
        <w:fldChar w:fldCharType="end"/>
      </w:r>
      <w:bookmarkStart w:id="35" w:name="_GoBack"/>
      <w:bookmarkEnd w:id="35"/>
    </w:p>
    <w:p>
      <w:pPr>
        <w:pStyle w:val="19"/>
        <w:tabs>
          <w:tab w:val="right" w:leader="dot" w:pos="8306"/>
        </w:tabs>
      </w:pPr>
      <w:r>
        <w:fldChar w:fldCharType="begin"/>
      </w:r>
      <w:r>
        <w:instrText xml:space="preserve"> HYPERLINK \l _Toc1260 </w:instrText>
      </w:r>
      <w:r>
        <w:fldChar w:fldCharType="separate"/>
      </w:r>
      <w:r>
        <w:rPr>
          <w:rFonts w:hint="default"/>
        </w:rPr>
        <w:t xml:space="preserve">3.1. </w:t>
      </w:r>
      <w:r>
        <w:rPr>
          <w:rFonts w:hint="eastAsia"/>
          <w:lang w:eastAsia="zh-CN"/>
        </w:rPr>
        <w:t>征求意见稿</w:t>
      </w:r>
      <w:r>
        <w:rPr>
          <w:rFonts w:hint="eastAsia"/>
        </w:rPr>
        <w:t>公示内容及时限</w:t>
      </w:r>
      <w:r>
        <w:tab/>
      </w:r>
      <w:r>
        <w:fldChar w:fldCharType="begin"/>
      </w:r>
      <w:r>
        <w:instrText xml:space="preserve"> PAGEREF _Toc1260 \h </w:instrText>
      </w:r>
      <w:r>
        <w:fldChar w:fldCharType="separate"/>
      </w:r>
      <w:r>
        <w:t>- 6 -</w:t>
      </w:r>
      <w:r>
        <w:fldChar w:fldCharType="end"/>
      </w:r>
      <w:r>
        <w:fldChar w:fldCharType="end"/>
      </w:r>
    </w:p>
    <w:p>
      <w:pPr>
        <w:pStyle w:val="19"/>
        <w:tabs>
          <w:tab w:val="right" w:leader="dot" w:pos="8306"/>
        </w:tabs>
      </w:pPr>
      <w:r>
        <w:fldChar w:fldCharType="begin"/>
      </w:r>
      <w:r>
        <w:instrText xml:space="preserve"> HYPERLINK \l _Toc16294 </w:instrText>
      </w:r>
      <w:r>
        <w:fldChar w:fldCharType="separate"/>
      </w:r>
      <w:r>
        <w:rPr>
          <w:rFonts w:hint="default" w:ascii="Times New Roman" w:hAnsi="Times New Roman"/>
        </w:rPr>
        <w:t xml:space="preserve">3.2. </w:t>
      </w:r>
      <w:r>
        <w:rPr>
          <w:rFonts w:hint="eastAsia" w:ascii="Times New Roman" w:hAnsi="Times New Roman"/>
          <w:highlight w:val="none"/>
        </w:rPr>
        <w:t>公示方式</w:t>
      </w:r>
      <w:r>
        <w:tab/>
      </w:r>
      <w:r>
        <w:fldChar w:fldCharType="begin"/>
      </w:r>
      <w:r>
        <w:instrText xml:space="preserve"> PAGEREF _Toc16294 \h </w:instrText>
      </w:r>
      <w:r>
        <w:fldChar w:fldCharType="separate"/>
      </w:r>
      <w:r>
        <w:t>- 6 -</w:t>
      </w:r>
      <w:r>
        <w:fldChar w:fldCharType="end"/>
      </w:r>
      <w:r>
        <w:fldChar w:fldCharType="end"/>
      </w:r>
    </w:p>
    <w:p>
      <w:pPr>
        <w:pStyle w:val="19"/>
        <w:tabs>
          <w:tab w:val="right" w:leader="dot" w:pos="8306"/>
        </w:tabs>
      </w:pPr>
      <w:r>
        <w:fldChar w:fldCharType="begin"/>
      </w:r>
      <w:r>
        <w:instrText xml:space="preserve"> HYPERLINK \l _Toc8631 </w:instrText>
      </w:r>
      <w:r>
        <w:fldChar w:fldCharType="separate"/>
      </w:r>
      <w:r>
        <w:rPr>
          <w:rFonts w:hint="default" w:ascii="Times New Roman" w:hAnsi="Times New Roman"/>
        </w:rPr>
        <w:t xml:space="preserve">3.3. </w:t>
      </w:r>
      <w:r>
        <w:rPr>
          <w:rFonts w:hint="eastAsia" w:ascii="Times New Roman" w:hAnsi="Times New Roman"/>
          <w:highlight w:val="none"/>
        </w:rPr>
        <w:t>查阅情况</w:t>
      </w:r>
      <w:r>
        <w:tab/>
      </w:r>
      <w:r>
        <w:fldChar w:fldCharType="begin"/>
      </w:r>
      <w:r>
        <w:instrText xml:space="preserve"> PAGEREF _Toc8631 \h </w:instrText>
      </w:r>
      <w:r>
        <w:fldChar w:fldCharType="separate"/>
      </w:r>
      <w:r>
        <w:t>- 12 -</w:t>
      </w:r>
      <w:r>
        <w:fldChar w:fldCharType="end"/>
      </w:r>
      <w:r>
        <w:fldChar w:fldCharType="end"/>
      </w:r>
    </w:p>
    <w:p>
      <w:pPr>
        <w:pStyle w:val="19"/>
        <w:tabs>
          <w:tab w:val="right" w:leader="dot" w:pos="8306"/>
        </w:tabs>
      </w:pPr>
      <w:r>
        <w:fldChar w:fldCharType="begin"/>
      </w:r>
      <w:r>
        <w:instrText xml:space="preserve"> HYPERLINK \l _Toc31611 </w:instrText>
      </w:r>
      <w:r>
        <w:fldChar w:fldCharType="separate"/>
      </w:r>
      <w:r>
        <w:rPr>
          <w:rFonts w:hint="default" w:ascii="Times New Roman" w:hAnsi="Times New Roman"/>
        </w:rPr>
        <w:t xml:space="preserve">3.4. </w:t>
      </w:r>
      <w:r>
        <w:rPr>
          <w:rFonts w:hint="eastAsia" w:ascii="Times New Roman" w:hAnsi="Times New Roman"/>
          <w:highlight w:val="none"/>
        </w:rPr>
        <w:t>公众提出意见情况</w:t>
      </w:r>
      <w:r>
        <w:tab/>
      </w:r>
      <w:r>
        <w:fldChar w:fldCharType="begin"/>
      </w:r>
      <w:r>
        <w:instrText xml:space="preserve"> PAGEREF _Toc31611 \h </w:instrText>
      </w:r>
      <w:r>
        <w:fldChar w:fldCharType="separate"/>
      </w:r>
      <w:r>
        <w:t>- 12 -</w:t>
      </w:r>
      <w:r>
        <w:fldChar w:fldCharType="end"/>
      </w:r>
      <w:r>
        <w:fldChar w:fldCharType="end"/>
      </w:r>
    </w:p>
    <w:p>
      <w:pPr>
        <w:pStyle w:val="18"/>
        <w:tabs>
          <w:tab w:val="right" w:leader="dot" w:pos="8306"/>
          <w:tab w:val="clear" w:pos="8296"/>
        </w:tabs>
      </w:pPr>
      <w:r>
        <w:fldChar w:fldCharType="begin"/>
      </w:r>
      <w:r>
        <w:instrText xml:space="preserve"> HYPERLINK \l _Toc2620 </w:instrText>
      </w:r>
      <w:r>
        <w:fldChar w:fldCharType="separate"/>
      </w:r>
      <w:r>
        <w:rPr>
          <w:rFonts w:hint="default"/>
          <w:lang w:val="en-US" w:eastAsia="zh-CN"/>
        </w:rPr>
        <w:t>4. 报批前公开情况</w:t>
      </w:r>
      <w:r>
        <w:tab/>
      </w:r>
      <w:r>
        <w:fldChar w:fldCharType="begin"/>
      </w:r>
      <w:r>
        <w:instrText xml:space="preserve"> PAGEREF _Toc2620 \h </w:instrText>
      </w:r>
      <w:r>
        <w:fldChar w:fldCharType="separate"/>
      </w:r>
      <w:r>
        <w:t>- 13 -</w:t>
      </w:r>
      <w:r>
        <w:fldChar w:fldCharType="end"/>
      </w:r>
      <w:r>
        <w:fldChar w:fldCharType="end"/>
      </w:r>
    </w:p>
    <w:p>
      <w:pPr>
        <w:pStyle w:val="19"/>
        <w:tabs>
          <w:tab w:val="right" w:leader="dot" w:pos="8306"/>
        </w:tabs>
      </w:pPr>
      <w:r>
        <w:fldChar w:fldCharType="begin"/>
      </w:r>
      <w:r>
        <w:instrText xml:space="preserve"> HYPERLINK \l _Toc30209 </w:instrText>
      </w:r>
      <w:r>
        <w:fldChar w:fldCharType="separate"/>
      </w:r>
      <w:r>
        <w:rPr>
          <w:rFonts w:hint="default"/>
          <w:lang w:eastAsia="zh-CN"/>
        </w:rPr>
        <w:t>4.1. 公开内容及日期</w:t>
      </w:r>
      <w:r>
        <w:tab/>
      </w:r>
      <w:r>
        <w:fldChar w:fldCharType="begin"/>
      </w:r>
      <w:r>
        <w:instrText xml:space="preserve"> PAGEREF _Toc30209 \h </w:instrText>
      </w:r>
      <w:r>
        <w:fldChar w:fldCharType="separate"/>
      </w:r>
      <w:r>
        <w:t>- 13 -</w:t>
      </w:r>
      <w:r>
        <w:fldChar w:fldCharType="end"/>
      </w:r>
      <w:r>
        <w:fldChar w:fldCharType="end"/>
      </w:r>
    </w:p>
    <w:p>
      <w:pPr>
        <w:pStyle w:val="19"/>
        <w:tabs>
          <w:tab w:val="right" w:leader="dot" w:pos="8306"/>
        </w:tabs>
      </w:pPr>
      <w:r>
        <w:fldChar w:fldCharType="begin"/>
      </w:r>
      <w:r>
        <w:instrText xml:space="preserve"> HYPERLINK \l _Toc26120 </w:instrText>
      </w:r>
      <w:r>
        <w:fldChar w:fldCharType="separate"/>
      </w:r>
      <w:r>
        <w:rPr>
          <w:rFonts w:hint="default"/>
          <w:lang w:eastAsia="zh-CN"/>
        </w:rPr>
        <w:t>4.2. 公开方式</w:t>
      </w:r>
      <w:r>
        <w:tab/>
      </w:r>
      <w:r>
        <w:fldChar w:fldCharType="begin"/>
      </w:r>
      <w:r>
        <w:instrText xml:space="preserve"> PAGEREF _Toc26120 \h </w:instrText>
      </w:r>
      <w:r>
        <w:fldChar w:fldCharType="separate"/>
      </w:r>
      <w:r>
        <w:t>- 13 -</w:t>
      </w:r>
      <w:r>
        <w:fldChar w:fldCharType="end"/>
      </w:r>
      <w:r>
        <w:fldChar w:fldCharType="end"/>
      </w:r>
    </w:p>
    <w:p>
      <w:pPr>
        <w:pStyle w:val="18"/>
        <w:tabs>
          <w:tab w:val="right" w:leader="dot" w:pos="8306"/>
          <w:tab w:val="clear" w:pos="8296"/>
        </w:tabs>
      </w:pPr>
      <w:r>
        <w:fldChar w:fldCharType="begin"/>
      </w:r>
      <w:r>
        <w:instrText xml:space="preserve"> HYPERLINK \l _Toc18845 </w:instrText>
      </w:r>
      <w:r>
        <w:fldChar w:fldCharType="separate"/>
      </w:r>
      <w:r>
        <w:rPr>
          <w:rFonts w:hint="eastAsia"/>
          <w:highlight w:val="none"/>
          <w:lang w:val="en-US" w:eastAsia="zh-CN"/>
        </w:rPr>
        <w:t>5</w:t>
      </w:r>
      <w:r>
        <w:rPr>
          <w:rFonts w:hint="eastAsia"/>
          <w:highlight w:val="none"/>
        </w:rPr>
        <w:t>诚信承诺</w:t>
      </w:r>
      <w:r>
        <w:tab/>
      </w:r>
      <w:r>
        <w:fldChar w:fldCharType="begin"/>
      </w:r>
      <w:r>
        <w:instrText xml:space="preserve"> PAGEREF _Toc18845 \h </w:instrText>
      </w:r>
      <w:r>
        <w:fldChar w:fldCharType="separate"/>
      </w:r>
      <w:r>
        <w:t>- 14 -</w:t>
      </w:r>
      <w:r>
        <w:fldChar w:fldCharType="end"/>
      </w:r>
      <w:r>
        <w:fldChar w:fldCharType="end"/>
      </w:r>
    </w:p>
    <w:p>
      <w:pPr>
        <w:pStyle w:val="20"/>
        <w:keepNext w:val="0"/>
        <w:keepLines w:val="0"/>
        <w:widowControl/>
        <w:suppressLineNumbers w:val="0"/>
        <w:spacing w:line="540" w:lineRule="atLeast"/>
        <w:jc w:val="center"/>
      </w:pPr>
      <w:r>
        <w:fldChar w:fldCharType="end"/>
      </w:r>
    </w:p>
    <w:p>
      <w:pPr>
        <w:pStyle w:val="20"/>
        <w:keepNext w:val="0"/>
        <w:keepLines w:val="0"/>
        <w:widowControl/>
        <w:suppressLineNumbers w:val="0"/>
        <w:spacing w:line="540" w:lineRule="atLeast"/>
        <w:jc w:val="center"/>
      </w:pPr>
    </w:p>
    <w:p>
      <w:pPr>
        <w:pStyle w:val="20"/>
        <w:keepNext w:val="0"/>
        <w:keepLines w:val="0"/>
        <w:widowControl/>
        <w:suppressLineNumbers w:val="0"/>
        <w:spacing w:line="540" w:lineRule="atLeast"/>
        <w:jc w:val="center"/>
      </w:pPr>
    </w:p>
    <w:p>
      <w:pPr>
        <w:pStyle w:val="20"/>
        <w:keepNext w:val="0"/>
        <w:keepLines w:val="0"/>
        <w:widowControl/>
        <w:suppressLineNumbers w:val="0"/>
        <w:spacing w:line="540" w:lineRule="atLeast"/>
        <w:jc w:val="center"/>
      </w:pPr>
    </w:p>
    <w:p>
      <w:pPr>
        <w:pStyle w:val="3"/>
        <w:bidi w:val="0"/>
        <w:rPr>
          <w:rFonts w:hint="eastAsia"/>
        </w:rPr>
        <w:sectPr>
          <w:headerReference r:id="rId7" w:type="defaul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pStyle w:val="3"/>
        <w:numPr>
          <w:ilvl w:val="0"/>
          <w:numId w:val="2"/>
        </w:numPr>
        <w:bidi w:val="0"/>
        <w:ind w:left="425" w:leftChars="0" w:hanging="425" w:firstLineChars="0"/>
      </w:pPr>
      <w:bookmarkStart w:id="1" w:name="_Toc29190"/>
      <w:bookmarkStart w:id="2" w:name="_Toc15682"/>
      <w:r>
        <w:rPr>
          <w:rFonts w:hint="eastAsia"/>
        </w:rPr>
        <w:t>概述</w:t>
      </w:r>
      <w:bookmarkEnd w:id="1"/>
      <w:bookmarkEnd w:id="2"/>
      <w:r>
        <w:rPr>
          <w:rFonts w:hint="eastAsia"/>
        </w:rPr>
        <w:t xml:space="preserve"> </w:t>
      </w:r>
    </w:p>
    <w:p>
      <w:pPr>
        <w:pStyle w:val="4"/>
        <w:bidi w:val="0"/>
      </w:pPr>
      <w:bookmarkStart w:id="3" w:name="_Toc21559"/>
      <w:bookmarkStart w:id="4" w:name="_Toc1488"/>
      <w:r>
        <w:rPr>
          <w:rFonts w:hint="eastAsia"/>
          <w:lang w:eastAsia="zh-CN"/>
        </w:rPr>
        <w:t>公众参与</w:t>
      </w:r>
      <w:r>
        <w:rPr>
          <w:rFonts w:hint="eastAsia"/>
        </w:rPr>
        <w:t>目的</w:t>
      </w:r>
      <w:bookmarkEnd w:id="3"/>
      <w:bookmarkEnd w:id="4"/>
    </w:p>
    <w:p>
      <w:pPr>
        <w:ind w:firstLine="480"/>
      </w:pPr>
      <w:r>
        <w:t>公众参与是项目建设单位通过环境影响评价与公众之间进行的联系和交流，是环评工作的重要组成部分之一，也是完善决策的有效方法。公众参与的目的是为了解和掌握公众对建设项目的意见和要求，将公众参与的诸方面向有关部门反映，使建设项目能被公众充分认可，同时使公众比较全面地了解建设项目，减轻或消除对建设项目影响的担心。公众参与对建设项目所采取的环保措施和对策将起到重要作用。</w:t>
      </w:r>
    </w:p>
    <w:p>
      <w:pPr>
        <w:ind w:firstLine="480"/>
      </w:pPr>
      <w:r>
        <w:t>公众通过参与来维护其环境权益、履行其环保责任和义务，对形成良好的保护环境的社会风气和实现预定的环境目标有着保证作用。本次公众参与调查严格按照</w:t>
      </w:r>
      <w:r>
        <w:rPr>
          <w:rFonts w:hint="eastAsia"/>
          <w:lang w:eastAsia="zh-CN"/>
        </w:rPr>
        <w:t>生态环境部</w:t>
      </w:r>
      <w:r>
        <w:rPr>
          <w:rFonts w:hint="eastAsia"/>
          <w:lang w:val="en-US" w:eastAsia="zh-CN"/>
        </w:rPr>
        <w:t>2018年7月16日公布的</w:t>
      </w:r>
      <w:r>
        <w:t>《环境影响评价公众参与办法》</w:t>
      </w:r>
      <w:r>
        <w:rPr>
          <w:rFonts w:hint="eastAsia"/>
          <w:lang w:eastAsia="zh-CN"/>
        </w:rPr>
        <w:t>（生态环境部令第</w:t>
      </w:r>
      <w:r>
        <w:rPr>
          <w:rFonts w:hint="eastAsia"/>
          <w:lang w:val="en-US" w:eastAsia="zh-CN"/>
        </w:rPr>
        <w:t>4号，2019年1月1日起施行</w:t>
      </w:r>
      <w:r>
        <w:rPr>
          <w:rFonts w:hint="eastAsia"/>
          <w:lang w:eastAsia="zh-CN"/>
        </w:rPr>
        <w:t>）</w:t>
      </w:r>
      <w:r>
        <w:t>执行。</w:t>
      </w:r>
    </w:p>
    <w:p>
      <w:pPr>
        <w:pStyle w:val="4"/>
        <w:bidi w:val="0"/>
      </w:pPr>
      <w:bookmarkStart w:id="5" w:name="_Toc28557"/>
      <w:bookmarkStart w:id="6" w:name="_Toc7339"/>
      <w:r>
        <w:rPr>
          <w:rFonts w:hint="eastAsia"/>
        </w:rPr>
        <w:t>公众参与调查的原则</w:t>
      </w:r>
      <w:bookmarkEnd w:id="5"/>
      <w:bookmarkEnd w:id="6"/>
    </w:p>
    <w:p>
      <w:pPr>
        <w:ind w:firstLine="480"/>
        <w:rPr>
          <w:rFonts w:hint="eastAsia" w:eastAsiaTheme="minorEastAsia"/>
          <w:lang w:eastAsia="zh-CN"/>
        </w:rPr>
      </w:pPr>
      <w:r>
        <w:t>公众参与调查方式以针对性和随机性相结合的原则进行，以达到公正无偏，不带有调查者倾向和个人感情等主观问题。</w:t>
      </w:r>
      <w:r>
        <w:rPr>
          <w:rFonts w:hint="eastAsia"/>
          <w:lang w:eastAsia="zh-CN"/>
        </w:rPr>
        <w:t>主要遵循以下原则：</w:t>
      </w:r>
    </w:p>
    <w:p>
      <w:pPr>
        <w:ind w:firstLine="480"/>
        <w:rPr>
          <w:sz w:val="24"/>
          <w:szCs w:val="24"/>
        </w:rPr>
      </w:pPr>
      <w:r>
        <w:rPr>
          <w:rFonts w:hint="eastAsia"/>
          <w:sz w:val="24"/>
          <w:szCs w:val="24"/>
        </w:rPr>
        <w:t>（1）知情原则</w:t>
      </w:r>
    </w:p>
    <w:p>
      <w:pPr>
        <w:ind w:firstLine="480"/>
        <w:rPr>
          <w:sz w:val="24"/>
          <w:szCs w:val="24"/>
        </w:rPr>
      </w:pPr>
      <w:r>
        <w:rPr>
          <w:rFonts w:hint="eastAsia"/>
          <w:sz w:val="24"/>
          <w:szCs w:val="24"/>
        </w:rPr>
        <w:t>信息公开在调查公众意见前开展，以便公众在知情的基础上提出有效意见。</w:t>
      </w:r>
    </w:p>
    <w:p>
      <w:pPr>
        <w:ind w:firstLine="480"/>
        <w:rPr>
          <w:sz w:val="24"/>
          <w:szCs w:val="24"/>
        </w:rPr>
      </w:pPr>
      <w:r>
        <w:rPr>
          <w:rFonts w:hint="eastAsia"/>
          <w:sz w:val="24"/>
          <w:szCs w:val="24"/>
        </w:rPr>
        <w:t>（2）公开原则</w:t>
      </w:r>
    </w:p>
    <w:p>
      <w:pPr>
        <w:ind w:firstLine="480"/>
        <w:rPr>
          <w:sz w:val="24"/>
          <w:szCs w:val="24"/>
        </w:rPr>
      </w:pPr>
      <w:r>
        <w:rPr>
          <w:rFonts w:hint="eastAsia"/>
          <w:sz w:val="24"/>
          <w:szCs w:val="24"/>
        </w:rPr>
        <w:t>在公众参与的全过程中，保证公众能够及时、全面并真实的了解建设项目的相关情况。</w:t>
      </w:r>
    </w:p>
    <w:p>
      <w:pPr>
        <w:ind w:firstLine="480"/>
        <w:rPr>
          <w:sz w:val="24"/>
          <w:szCs w:val="24"/>
        </w:rPr>
      </w:pPr>
      <w:r>
        <w:rPr>
          <w:rFonts w:hint="eastAsia"/>
          <w:sz w:val="24"/>
          <w:szCs w:val="24"/>
        </w:rPr>
        <w:t>（3）平等原则</w:t>
      </w:r>
    </w:p>
    <w:p>
      <w:pPr>
        <w:ind w:firstLine="480"/>
        <w:rPr>
          <w:sz w:val="24"/>
          <w:szCs w:val="24"/>
        </w:rPr>
      </w:pPr>
      <w:r>
        <w:rPr>
          <w:rFonts w:hint="eastAsia"/>
          <w:sz w:val="24"/>
          <w:szCs w:val="24"/>
        </w:rPr>
        <w:t>努力建立利害相关方之间的相互信任，不回避矛盾和冲突，平等交流，充分理解各种不同意见，避免主管片面。</w:t>
      </w:r>
    </w:p>
    <w:p>
      <w:pPr>
        <w:ind w:firstLine="480"/>
        <w:rPr>
          <w:sz w:val="24"/>
          <w:szCs w:val="24"/>
        </w:rPr>
      </w:pPr>
      <w:r>
        <w:rPr>
          <w:rFonts w:hint="eastAsia"/>
          <w:sz w:val="24"/>
          <w:szCs w:val="24"/>
        </w:rPr>
        <w:t>（4）广泛原则</w:t>
      </w:r>
    </w:p>
    <w:p>
      <w:pPr>
        <w:ind w:firstLine="480"/>
        <w:rPr>
          <w:sz w:val="24"/>
          <w:szCs w:val="24"/>
        </w:rPr>
      </w:pPr>
      <w:r>
        <w:rPr>
          <w:rFonts w:hint="eastAsia"/>
          <w:sz w:val="24"/>
          <w:szCs w:val="24"/>
        </w:rPr>
        <w:t>尽量使不同社会、文化背景的公众参与进来，在重点征求受建设项目直接影响公众意见的同时，保证其他公众有发表意见的机会。</w:t>
      </w:r>
    </w:p>
    <w:p>
      <w:pPr>
        <w:ind w:firstLine="480"/>
        <w:rPr>
          <w:sz w:val="24"/>
          <w:szCs w:val="24"/>
        </w:rPr>
      </w:pPr>
      <w:r>
        <w:rPr>
          <w:rFonts w:hint="eastAsia"/>
          <w:sz w:val="24"/>
          <w:szCs w:val="24"/>
        </w:rPr>
        <w:t>（5）便利原则</w:t>
      </w:r>
    </w:p>
    <w:p>
      <w:pPr>
        <w:ind w:firstLine="480"/>
        <w:rPr>
          <w:sz w:val="24"/>
          <w:szCs w:val="24"/>
        </w:rPr>
      </w:pPr>
      <w:r>
        <w:rPr>
          <w:rFonts w:hint="eastAsia"/>
          <w:sz w:val="24"/>
          <w:szCs w:val="24"/>
        </w:rPr>
        <w:t>根据本项目的性质和所涉及区域公众特点，选择易于获取的信息公开方式和便于公众参与的调查方式。</w:t>
      </w:r>
    </w:p>
    <w:p>
      <w:pPr>
        <w:pStyle w:val="4"/>
        <w:bidi w:val="0"/>
      </w:pPr>
      <w:bookmarkStart w:id="7" w:name="_Toc4608"/>
      <w:bookmarkStart w:id="8" w:name="_Toc4470"/>
      <w:r>
        <w:rPr>
          <w:rFonts w:hint="eastAsia"/>
        </w:rPr>
        <w:t>公众参与调查范围</w:t>
      </w:r>
      <w:bookmarkEnd w:id="7"/>
      <w:bookmarkEnd w:id="8"/>
    </w:p>
    <w:p>
      <w:pPr>
        <w:ind w:firstLine="480"/>
        <w:rPr>
          <w:rFonts w:hint="eastAsia" w:eastAsiaTheme="minorEastAsia"/>
          <w:lang w:eastAsia="zh-CN"/>
        </w:rPr>
      </w:pPr>
      <w:r>
        <w:rPr>
          <w:rFonts w:hint="eastAsia"/>
        </w:rPr>
        <w:t>本项目20</w:t>
      </w:r>
      <w:r>
        <w:rPr>
          <w:rFonts w:hint="eastAsia"/>
          <w:lang w:val="en-US" w:eastAsia="zh-CN"/>
        </w:rPr>
        <w:t>20</w:t>
      </w:r>
      <w:r>
        <w:rPr>
          <w:rFonts w:hint="eastAsia"/>
        </w:rPr>
        <w:t>年</w:t>
      </w:r>
      <w:r>
        <w:rPr>
          <w:rFonts w:hint="eastAsia"/>
          <w:lang w:val="en-US" w:eastAsia="zh-CN"/>
        </w:rPr>
        <w:t>7</w:t>
      </w:r>
      <w:r>
        <w:rPr>
          <w:rFonts w:hint="eastAsia"/>
        </w:rPr>
        <w:t>月</w:t>
      </w:r>
      <w:r>
        <w:rPr>
          <w:rFonts w:hint="eastAsia"/>
          <w:lang w:val="en-US" w:eastAsia="zh-CN"/>
        </w:rPr>
        <w:t>15</w:t>
      </w:r>
      <w:r>
        <w:rPr>
          <w:rFonts w:hint="eastAsia"/>
        </w:rPr>
        <w:t>日起</w:t>
      </w:r>
      <w:r>
        <w:rPr>
          <w:rFonts w:hint="eastAsia"/>
          <w:lang w:val="en-US" w:eastAsia="zh-CN"/>
        </w:rPr>
        <w:t>，</w:t>
      </w:r>
      <w:r>
        <w:rPr>
          <w:rFonts w:hint="eastAsia"/>
          <w:lang w:eastAsia="zh-CN"/>
        </w:rPr>
        <w:t>分别于网络、项目所在地</w:t>
      </w:r>
      <w:r>
        <w:rPr>
          <w:rFonts w:hint="eastAsia"/>
          <w:lang w:val="en-US" w:eastAsia="zh-CN"/>
        </w:rPr>
        <w:t>报</w:t>
      </w:r>
      <w:r>
        <w:rPr>
          <w:rFonts w:hint="eastAsia"/>
          <w:lang w:eastAsia="zh-CN"/>
        </w:rPr>
        <w:t>纸媒</w:t>
      </w:r>
      <w:r>
        <w:rPr>
          <w:rFonts w:hint="eastAsia"/>
          <w:lang w:val="en-US" w:eastAsia="zh-CN"/>
        </w:rPr>
        <w:t>体</w:t>
      </w:r>
      <w:r>
        <w:rPr>
          <w:rFonts w:hint="eastAsia"/>
          <w:lang w:eastAsia="zh-CN"/>
        </w:rPr>
        <w:t>方式公开项目信息。</w:t>
      </w:r>
    </w:p>
    <w:p>
      <w:pPr>
        <w:pStyle w:val="4"/>
        <w:bidi w:val="0"/>
      </w:pPr>
      <w:bookmarkStart w:id="9" w:name="_Toc24245"/>
      <w:bookmarkStart w:id="10" w:name="_Toc9772"/>
      <w:r>
        <w:rPr>
          <w:rFonts w:hint="eastAsia"/>
        </w:rPr>
        <w:t>公众参与形式</w:t>
      </w:r>
      <w:bookmarkEnd w:id="9"/>
      <w:bookmarkEnd w:id="10"/>
    </w:p>
    <w:p>
      <w:pPr>
        <w:ind w:firstLine="480"/>
      </w:pPr>
      <w:r>
        <w:t>按照我国有关法规要求，并借鉴国内同类项目的成功经验，本次评价公众参与调查采用</w:t>
      </w:r>
      <w:r>
        <w:rPr>
          <w:rFonts w:hint="eastAsia"/>
          <w:lang w:eastAsia="zh-CN"/>
        </w:rPr>
        <w:t>网络及纸媒</w:t>
      </w:r>
      <w:r>
        <w:t>发布公告，向广大公众征求对本项目建设的意见和要求。</w:t>
      </w:r>
    </w:p>
    <w:p>
      <w:pPr>
        <w:pStyle w:val="3"/>
        <w:bidi w:val="0"/>
        <w:rPr>
          <w:rFonts w:hint="eastAsia"/>
          <w:lang w:eastAsia="zh-CN"/>
        </w:rPr>
        <w:sectPr>
          <w:headerReference r:id="rId9" w:type="default"/>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bookmarkStart w:id="11" w:name="_Toc26649"/>
    </w:p>
    <w:p>
      <w:pPr>
        <w:pStyle w:val="3"/>
        <w:bidi w:val="0"/>
        <w:rPr>
          <w:rFonts w:hint="eastAsia"/>
          <w:color w:val="auto"/>
          <w:lang w:eastAsia="zh-CN"/>
        </w:rPr>
      </w:pPr>
      <w:bookmarkStart w:id="12" w:name="_Toc3382"/>
      <w:r>
        <w:rPr>
          <w:rFonts w:hint="eastAsia"/>
          <w:color w:val="auto"/>
          <w:lang w:eastAsia="zh-CN"/>
        </w:rPr>
        <w:t>首次环境影响评价信息公开</w:t>
      </w:r>
      <w:bookmarkEnd w:id="11"/>
      <w:bookmarkEnd w:id="12"/>
    </w:p>
    <w:p>
      <w:pPr>
        <w:pStyle w:val="4"/>
        <w:bidi w:val="0"/>
        <w:rPr>
          <w:rFonts w:hint="eastAsia"/>
          <w:color w:val="auto"/>
          <w:lang w:eastAsia="zh-CN"/>
        </w:rPr>
      </w:pPr>
      <w:bookmarkStart w:id="13" w:name="_Toc6740"/>
      <w:bookmarkStart w:id="14" w:name="_Toc14272"/>
      <w:r>
        <w:rPr>
          <w:rFonts w:hint="eastAsia"/>
          <w:color w:val="auto"/>
          <w:lang w:eastAsia="zh-CN"/>
        </w:rPr>
        <w:t>首次环境影响评价信息公开内容及时限</w:t>
      </w:r>
      <w:bookmarkEnd w:id="13"/>
      <w:bookmarkEnd w:id="14"/>
    </w:p>
    <w:p>
      <w:pPr>
        <w:adjustRightInd w:val="0"/>
        <w:spacing w:line="360" w:lineRule="auto"/>
        <w:ind w:firstLine="480" w:firstLineChars="200"/>
        <w:textAlignment w:val="baseline"/>
        <w:rPr>
          <w:rFonts w:hint="eastAsia"/>
          <w:color w:val="0070C0"/>
          <w:kern w:val="0"/>
          <w:sz w:val="24"/>
          <w:szCs w:val="20"/>
          <w:highlight w:val="none"/>
          <w:lang w:val="en-US" w:eastAsia="zh-CN"/>
        </w:rPr>
      </w:pPr>
      <w:r>
        <w:rPr>
          <w:rFonts w:hint="eastAsia"/>
          <w:color w:val="auto"/>
          <w:kern w:val="0"/>
          <w:sz w:val="24"/>
          <w:szCs w:val="20"/>
          <w:highlight w:val="none"/>
          <w:lang w:val="en-US" w:eastAsia="zh-CN"/>
        </w:rPr>
        <w:t>本项目位于</w:t>
      </w:r>
      <w:r>
        <w:rPr>
          <w:rFonts w:hint="eastAsia"/>
          <w:color w:val="auto"/>
          <w:highlight w:val="none"/>
          <w:lang w:val="zh-CN"/>
        </w:rPr>
        <w:t>葫芦岛经济开发区化工园区</w:t>
      </w:r>
      <w:r>
        <w:rPr>
          <w:rFonts w:hint="default"/>
          <w:color w:val="auto"/>
          <w:kern w:val="0"/>
          <w:sz w:val="24"/>
          <w:szCs w:val="20"/>
          <w:highlight w:val="none"/>
          <w:lang w:val="en-US" w:eastAsia="zh-CN"/>
        </w:rPr>
        <w:t>，</w:t>
      </w:r>
      <w:r>
        <w:rPr>
          <w:color w:val="auto"/>
        </w:rPr>
        <w:t>本项目建设性质为改扩建，建成后年产1</w:t>
      </w:r>
      <w:r>
        <w:rPr>
          <w:rFonts w:hint="eastAsia"/>
          <w:color w:val="auto"/>
          <w:lang w:val="en-US" w:eastAsia="zh-CN"/>
        </w:rPr>
        <w:t>5</w:t>
      </w:r>
      <w:r>
        <w:rPr>
          <w:color w:val="auto"/>
        </w:rPr>
        <w:t>00吨甲基丙烯酸缩水甘油酯及</w:t>
      </w:r>
      <w:r>
        <w:rPr>
          <w:rFonts w:hint="eastAsia"/>
          <w:color w:val="auto"/>
          <w:lang w:val="en-US" w:eastAsia="zh-CN"/>
        </w:rPr>
        <w:t>1500</w:t>
      </w:r>
      <w:r>
        <w:rPr>
          <w:color w:val="auto"/>
        </w:rPr>
        <w:t>吨异氰酸酯产品。项目对厂区现有三期厂房、干燥厂房进行改造建设，取代原有1000吨/年1-（4-氯苯基）-3-吡唑醇生产线，利旧1-（4-氯苯基）-3-吡唑醇生产线现有设备，同时新增部分生产设备及配套环保设施，其余所需公用工程及辅助设施依托现有工程，无新增占地。项目产品具体包括：甲基丙烯酸缩水甘油酯</w:t>
      </w:r>
      <w:r>
        <w:rPr>
          <w:rFonts w:hint="eastAsia"/>
          <w:color w:val="auto"/>
        </w:rPr>
        <w:t>（英文缩写GMA）</w:t>
      </w:r>
      <w:r>
        <w:rPr>
          <w:color w:val="auto"/>
        </w:rPr>
        <w:t>1</w:t>
      </w:r>
      <w:r>
        <w:rPr>
          <w:rFonts w:hint="eastAsia"/>
          <w:color w:val="auto"/>
          <w:lang w:val="en-US" w:eastAsia="zh-CN"/>
        </w:rPr>
        <w:t>5</w:t>
      </w:r>
      <w:r>
        <w:rPr>
          <w:color w:val="auto"/>
        </w:rPr>
        <w:t>00t/a，</w:t>
      </w:r>
      <w:r>
        <w:rPr>
          <w:rFonts w:hint="eastAsia"/>
          <w:color w:val="auto"/>
        </w:rPr>
        <w:t>对氯苯基异氰酸酯500t/a、3,4-二氯苯基异氰酸酯500t/a、环已基异氰酸酯500t/a，三种产品产能共1500t/a。甲基丙烯酸缩水甘油酯产品主要用于粉末涂料、橡胶等化学材料添加剂，异氰酸酯产品为农药中间体</w:t>
      </w:r>
      <w:r>
        <w:rPr>
          <w:color w:val="auto"/>
        </w:rPr>
        <w:t>。</w:t>
      </w:r>
    </w:p>
    <w:p>
      <w:pPr>
        <w:adjustRightInd w:val="0"/>
        <w:spacing w:line="360" w:lineRule="auto"/>
        <w:ind w:firstLine="480" w:firstLineChars="200"/>
        <w:textAlignment w:val="baseline"/>
        <w:rPr>
          <w:rFonts w:hint="eastAsia"/>
          <w:color w:val="auto"/>
          <w:kern w:val="0"/>
          <w:sz w:val="24"/>
          <w:szCs w:val="20"/>
          <w:highlight w:val="none"/>
          <w:lang w:val="en-US" w:eastAsia="zh-CN"/>
        </w:rPr>
      </w:pPr>
      <w:r>
        <w:rPr>
          <w:rFonts w:hint="eastAsia"/>
          <w:color w:val="auto"/>
          <w:kern w:val="0"/>
          <w:sz w:val="24"/>
          <w:szCs w:val="20"/>
          <w:highlight w:val="none"/>
          <w:lang w:eastAsia="zh-CN"/>
        </w:rPr>
        <w:t>根据项目土地证、城市总体规划，本项目选址符合相关规划，选址合理</w:t>
      </w:r>
      <w:r>
        <w:rPr>
          <w:rFonts w:hint="eastAsia"/>
          <w:color w:val="auto"/>
          <w:kern w:val="0"/>
          <w:sz w:val="24"/>
          <w:szCs w:val="20"/>
          <w:highlight w:val="none"/>
          <w:lang w:val="en-US" w:eastAsia="zh-CN"/>
        </w:rPr>
        <w:t>。</w:t>
      </w:r>
    </w:p>
    <w:p>
      <w:pPr>
        <w:spacing w:line="360" w:lineRule="auto"/>
        <w:ind w:firstLine="480" w:firstLineChars="200"/>
        <w:rPr>
          <w:rFonts w:hint="eastAsia"/>
        </w:rPr>
      </w:pPr>
      <w:r>
        <w:t>本项目</w:t>
      </w:r>
      <w:r>
        <w:rPr>
          <w:rFonts w:hint="eastAsia"/>
        </w:rPr>
        <w:t>生产的甲基丙烯酸缩水甘油酯产品主要用于粉末涂料、橡胶等化学材料添加剂，根据《产业结构调整指导目录（2019年本）》中的规定，该产品的生产技术和设备不属于“鼓励类”、“淘汰类”和“限制类”，属于允许类，符合国家产业政策要求。</w:t>
      </w:r>
    </w:p>
    <w:p>
      <w:pPr>
        <w:spacing w:line="360" w:lineRule="auto"/>
        <w:ind w:firstLine="480" w:firstLineChars="200"/>
      </w:pPr>
      <w:r>
        <w:rPr>
          <w:rFonts w:hint="eastAsia"/>
        </w:rPr>
        <w:t>异氰酸酯类产品为农药中间体</w:t>
      </w:r>
      <w:r>
        <w:t>，根据国务院《产业结构调整指导目录（2019年本）》有关规定，</w:t>
      </w:r>
      <w:r>
        <w:rPr>
          <w:rFonts w:hint="eastAsia"/>
        </w:rPr>
        <w:t>属于“鼓励类”中“十一、石化化工”的第6条“高效、安全环境友好的农药新品种、新剂型、专用中间体、助剂的开发与生产，定向合成法手性和立体结构农药生产，生物农药新产品、新技术的开发与生产”</w:t>
      </w:r>
      <w:r>
        <w:t>，符合当</w:t>
      </w:r>
      <w:r>
        <w:rPr>
          <w:rFonts w:hint="eastAsia"/>
        </w:rPr>
        <w:t>国家产业政策</w:t>
      </w:r>
      <w:r>
        <w:t>。</w:t>
      </w:r>
    </w:p>
    <w:p>
      <w:pPr>
        <w:adjustRightInd w:val="0"/>
        <w:spacing w:line="360" w:lineRule="auto"/>
        <w:ind w:firstLine="480" w:firstLineChars="200"/>
        <w:textAlignment w:val="baseline"/>
        <w:rPr>
          <w:rFonts w:hint="eastAsia"/>
          <w:color w:val="0070C0"/>
          <w:kern w:val="0"/>
          <w:sz w:val="24"/>
          <w:szCs w:val="20"/>
          <w:highlight w:val="none"/>
          <w:lang w:val="en-US" w:eastAsia="zh-CN"/>
        </w:rPr>
      </w:pPr>
      <w:r>
        <w:rPr>
          <w:rFonts w:hint="eastAsia"/>
        </w:rPr>
        <w:t>综上所述，本项目符合国家产业政策。</w:t>
      </w:r>
    </w:p>
    <w:p>
      <w:pPr>
        <w:adjustRightInd w:val="0"/>
        <w:spacing w:line="360" w:lineRule="auto"/>
        <w:ind w:firstLine="480" w:firstLineChars="200"/>
        <w:textAlignment w:val="baseline"/>
        <w:rPr>
          <w:rFonts w:hint="eastAsia"/>
          <w:color w:val="auto"/>
          <w:kern w:val="0"/>
          <w:sz w:val="24"/>
          <w:szCs w:val="20"/>
          <w:highlight w:val="none"/>
          <w:lang w:val="en-US" w:eastAsia="zh-CN"/>
        </w:rPr>
      </w:pPr>
      <w:r>
        <w:rPr>
          <w:rFonts w:hint="eastAsia"/>
          <w:color w:val="auto"/>
          <w:kern w:val="0"/>
          <w:sz w:val="24"/>
          <w:szCs w:val="20"/>
          <w:highlight w:val="none"/>
          <w:lang w:val="en-US" w:eastAsia="zh-CN"/>
        </w:rPr>
        <w:t>根据《环境影响评价公众参与办法》（生态环境部令第4号，2019年1月1日起施行）规定：</w:t>
      </w:r>
    </w:p>
    <w:p>
      <w:pPr>
        <w:ind w:firstLine="480"/>
        <w:rPr>
          <w:color w:val="auto"/>
        </w:rPr>
      </w:pPr>
      <w:r>
        <w:rPr>
          <w:rFonts w:hint="eastAsia"/>
          <w:color w:val="auto"/>
          <w:lang w:eastAsia="zh-CN"/>
        </w:rPr>
        <w:t>第九条</w:t>
      </w:r>
      <w:r>
        <w:rPr>
          <w:rFonts w:hint="eastAsia"/>
          <w:color w:val="auto"/>
          <w:lang w:val="en-US" w:eastAsia="zh-CN"/>
        </w:rPr>
        <w:t xml:space="preserve"> 建设单位应当在确定环境影响报告书编制单位后</w:t>
      </w:r>
      <w:r>
        <w:rPr>
          <w:color w:val="auto"/>
        </w:rPr>
        <w:t>7个工作日内，通过其网站、建设项目所在地公共媒体网站或者建设项目所在地相关政府网站（以下统称网络平台），公开下列信息：</w:t>
      </w:r>
    </w:p>
    <w:p>
      <w:pPr>
        <w:ind w:firstLine="480"/>
        <w:rPr>
          <w:color w:val="auto"/>
        </w:rPr>
      </w:pPr>
      <w:r>
        <w:rPr>
          <w:color w:val="auto"/>
        </w:rPr>
        <w:t>（一）建设项目名称、选址选线、建设内容等基本情况，改建、扩建、迁建项目应当说明现有工程及其环境保护情况；</w:t>
      </w:r>
    </w:p>
    <w:p>
      <w:pPr>
        <w:ind w:firstLine="480"/>
        <w:rPr>
          <w:color w:val="auto"/>
        </w:rPr>
      </w:pPr>
      <w:r>
        <w:rPr>
          <w:color w:val="auto"/>
        </w:rPr>
        <w:t>（二）建设单位名称和联系方式；</w:t>
      </w:r>
    </w:p>
    <w:p>
      <w:pPr>
        <w:ind w:firstLine="480"/>
        <w:rPr>
          <w:color w:val="auto"/>
        </w:rPr>
      </w:pPr>
      <w:r>
        <w:rPr>
          <w:color w:val="auto"/>
        </w:rPr>
        <w:t>（三）环境影响报告书编制单位的名称；</w:t>
      </w:r>
    </w:p>
    <w:p>
      <w:pPr>
        <w:ind w:firstLine="480"/>
        <w:rPr>
          <w:color w:val="auto"/>
        </w:rPr>
      </w:pPr>
      <w:r>
        <w:rPr>
          <w:color w:val="auto"/>
        </w:rPr>
        <w:t>（四）公众意见表的网络链接；</w:t>
      </w:r>
    </w:p>
    <w:p>
      <w:pPr>
        <w:ind w:firstLine="480"/>
        <w:rPr>
          <w:color w:val="auto"/>
        </w:rPr>
      </w:pPr>
      <w:r>
        <w:rPr>
          <w:color w:val="auto"/>
        </w:rPr>
        <w:t>（五）提交公众意见表的方式和途径。</w:t>
      </w:r>
    </w:p>
    <w:p>
      <w:pPr>
        <w:ind w:firstLine="480"/>
        <w:rPr>
          <w:color w:val="auto"/>
        </w:rPr>
      </w:pPr>
      <w:r>
        <w:rPr>
          <w:color w:val="auto"/>
        </w:rPr>
        <w:t>在环境影响报告书征求意见稿编制过程中，公众均可向建设单位提出与环境影响评价相关的意见。</w:t>
      </w:r>
    </w:p>
    <w:p>
      <w:pPr>
        <w:ind w:firstLine="480"/>
        <w:rPr>
          <w:color w:val="auto"/>
        </w:rPr>
      </w:pPr>
      <w:r>
        <w:rPr>
          <w:color w:val="auto"/>
        </w:rPr>
        <w:t>公众意见表的内容和格式，由生态环境部制定。</w:t>
      </w:r>
    </w:p>
    <w:p>
      <w:pPr>
        <w:pStyle w:val="4"/>
        <w:bidi w:val="0"/>
        <w:rPr>
          <w:rFonts w:hint="default"/>
          <w:color w:val="auto"/>
          <w:lang w:val="en-US" w:eastAsia="zh-CN"/>
        </w:rPr>
      </w:pPr>
      <w:bookmarkStart w:id="15" w:name="_Toc410"/>
      <w:bookmarkStart w:id="16" w:name="_Toc6861"/>
      <w:r>
        <w:rPr>
          <w:rFonts w:hint="eastAsia"/>
          <w:color w:val="auto"/>
          <w:lang w:val="en-US" w:eastAsia="zh-CN"/>
        </w:rPr>
        <w:t>首次信息公开方式</w:t>
      </w:r>
      <w:bookmarkEnd w:id="15"/>
      <w:bookmarkEnd w:id="16"/>
    </w:p>
    <w:p>
      <w:pPr>
        <w:keepNext w:val="0"/>
        <w:keepLines w:val="0"/>
        <w:pageBreakBefore w:val="0"/>
        <w:widowControl w:val="0"/>
        <w:kinsoku/>
        <w:wordWrap w:val="0"/>
        <w:overflowPunct/>
        <w:topLinePunct w:val="0"/>
        <w:autoSpaceDE/>
        <w:autoSpaceDN/>
        <w:bidi w:val="0"/>
        <w:adjustRightInd/>
        <w:snapToGrid/>
        <w:jc w:val="left"/>
        <w:textAlignment w:val="auto"/>
        <w:rPr>
          <w:rFonts w:hint="eastAsia" w:ascii="Times New Roman" w:hAnsi="Times New Roman"/>
          <w:color w:val="0070C0"/>
          <w:highlight w:val="none"/>
          <w:lang w:val="en-US" w:eastAsia="zh-CN"/>
        </w:rPr>
      </w:pPr>
      <w:r>
        <w:rPr>
          <w:rFonts w:hint="eastAsia" w:ascii="Times New Roman" w:hAnsi="Times New Roman"/>
          <w:color w:val="auto"/>
          <w:highlight w:val="none"/>
          <w:lang w:val="en-US" w:eastAsia="zh-CN"/>
        </w:rPr>
        <w:t>在确定本项目环境影响评价报告书编制单位后，我单位于20</w:t>
      </w:r>
      <w:r>
        <w:rPr>
          <w:rFonts w:hint="eastAsia"/>
          <w:color w:val="auto"/>
          <w:highlight w:val="none"/>
          <w:lang w:val="en-US" w:eastAsia="zh-CN"/>
        </w:rPr>
        <w:t>20</w:t>
      </w:r>
      <w:r>
        <w:rPr>
          <w:rFonts w:hint="eastAsia" w:ascii="Times New Roman" w:hAnsi="Times New Roman"/>
          <w:color w:val="auto"/>
          <w:highlight w:val="none"/>
          <w:lang w:val="en-US" w:eastAsia="zh-CN"/>
        </w:rPr>
        <w:t>年</w:t>
      </w:r>
      <w:r>
        <w:rPr>
          <w:rFonts w:hint="eastAsia"/>
          <w:color w:val="auto"/>
          <w:highlight w:val="none"/>
          <w:lang w:val="en-US" w:eastAsia="zh-CN"/>
        </w:rPr>
        <w:t>7</w:t>
      </w:r>
      <w:r>
        <w:rPr>
          <w:rFonts w:hint="eastAsia" w:ascii="Times New Roman" w:hAnsi="Times New Roman"/>
          <w:color w:val="auto"/>
          <w:highlight w:val="none"/>
          <w:lang w:val="en-US" w:eastAsia="zh-CN"/>
        </w:rPr>
        <w:t>月</w:t>
      </w:r>
      <w:r>
        <w:rPr>
          <w:rFonts w:hint="eastAsia"/>
          <w:color w:val="auto"/>
          <w:highlight w:val="none"/>
          <w:lang w:val="en-US" w:eastAsia="zh-CN"/>
        </w:rPr>
        <w:t>15</w:t>
      </w:r>
      <w:r>
        <w:rPr>
          <w:rFonts w:hint="eastAsia" w:ascii="Times New Roman" w:hAnsi="Times New Roman"/>
          <w:color w:val="auto"/>
          <w:highlight w:val="none"/>
          <w:lang w:val="en-US" w:eastAsia="zh-CN"/>
        </w:rPr>
        <w:t>日，于</w:t>
      </w:r>
      <w:r>
        <w:rPr>
          <w:rFonts w:hint="eastAsia"/>
          <w:color w:val="auto"/>
          <w:highlight w:val="none"/>
          <w:lang w:val="en-US" w:eastAsia="zh-CN"/>
        </w:rPr>
        <w:t>葫芦岛天启晟业化工有限公司官方网站公开项目</w:t>
      </w:r>
      <w:r>
        <w:rPr>
          <w:rFonts w:hint="eastAsia" w:ascii="Times New Roman" w:hAnsi="Times New Roman"/>
          <w:color w:val="auto"/>
          <w:highlight w:val="none"/>
          <w:lang w:val="en-US" w:eastAsia="zh-CN"/>
        </w:rPr>
        <w:t>信息，网络链接www.p-chloroaniline.cn/news_detail/13.html，公开信息截图如下。</w:t>
      </w:r>
    </w:p>
    <w:p>
      <w:pPr>
        <w:pStyle w:val="16"/>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color w:val="0070C0"/>
          <w:highlight w:val="none"/>
          <w:lang w:val="en-US" w:eastAsia="zh-CN"/>
        </w:rPr>
      </w:pPr>
      <w:r>
        <w:drawing>
          <wp:inline distT="0" distB="0" distL="114300" distR="114300">
            <wp:extent cx="5267325" cy="3844290"/>
            <wp:effectExtent l="0" t="0" r="9525" b="38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267325" cy="3844290"/>
                    </a:xfrm>
                    <a:prstGeom prst="rect">
                      <a:avLst/>
                    </a:prstGeom>
                    <a:noFill/>
                    <a:ln>
                      <a:noFill/>
                    </a:ln>
                  </pic:spPr>
                </pic:pic>
              </a:graphicData>
            </a:graphic>
          </wp:inline>
        </w:drawing>
      </w:r>
      <w:r>
        <w:drawing>
          <wp:inline distT="0" distB="0" distL="114300" distR="114300">
            <wp:extent cx="5272405" cy="2884805"/>
            <wp:effectExtent l="0" t="0" r="4445" b="1079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3"/>
                    <a:stretch>
                      <a:fillRect/>
                    </a:stretch>
                  </pic:blipFill>
                  <pic:spPr>
                    <a:xfrm>
                      <a:off x="0" y="0"/>
                      <a:ext cx="5272405" cy="2884805"/>
                    </a:xfrm>
                    <a:prstGeom prst="rect">
                      <a:avLst/>
                    </a:prstGeom>
                    <a:noFill/>
                    <a:ln>
                      <a:noFill/>
                    </a:ln>
                  </pic:spPr>
                </pic:pic>
              </a:graphicData>
            </a:graphic>
          </wp:inline>
        </w:drawing>
      </w:r>
    </w:p>
    <w:p>
      <w:pPr>
        <w:pStyle w:val="4"/>
        <w:bidi w:val="0"/>
        <w:rPr>
          <w:rFonts w:hint="eastAsia"/>
          <w:color w:val="auto"/>
          <w:lang w:eastAsia="zh-CN"/>
        </w:rPr>
      </w:pPr>
      <w:bookmarkStart w:id="17" w:name="_Toc22102"/>
      <w:bookmarkStart w:id="18" w:name="_Toc28440"/>
      <w:r>
        <w:rPr>
          <w:rFonts w:hint="eastAsia"/>
          <w:color w:val="auto"/>
          <w:lang w:eastAsia="zh-CN"/>
        </w:rPr>
        <w:t>首次信息公开公众意见情况</w:t>
      </w:r>
      <w:bookmarkEnd w:id="17"/>
      <w:bookmarkEnd w:id="18"/>
    </w:p>
    <w:p>
      <w:pPr>
        <w:ind w:firstLine="480"/>
        <w:rPr>
          <w:color w:val="auto"/>
        </w:rPr>
      </w:pPr>
      <w:r>
        <w:rPr>
          <w:rFonts w:hint="eastAsia"/>
          <w:color w:val="auto"/>
          <w:highlight w:val="none"/>
          <w:lang w:eastAsia="zh-CN"/>
        </w:rPr>
        <w:t>首次信息公开</w:t>
      </w:r>
      <w:r>
        <w:rPr>
          <w:rFonts w:hint="eastAsia"/>
          <w:color w:val="auto"/>
          <w:sz w:val="24"/>
          <w:szCs w:val="24"/>
        </w:rPr>
        <w:t>公示的内容包括：</w:t>
      </w:r>
      <w:r>
        <w:rPr>
          <w:color w:val="auto"/>
          <w:sz w:val="24"/>
          <w:szCs w:val="24"/>
        </w:rPr>
        <w:t>建设项目的名称及概</w:t>
      </w:r>
      <w:r>
        <w:rPr>
          <w:rFonts w:hint="eastAsia"/>
          <w:color w:val="auto"/>
          <w:sz w:val="24"/>
          <w:szCs w:val="24"/>
        </w:rPr>
        <w:t>况、</w:t>
      </w:r>
      <w:r>
        <w:rPr>
          <w:color w:val="auto"/>
          <w:sz w:val="24"/>
          <w:szCs w:val="24"/>
        </w:rPr>
        <w:t>建设项目的单位名称和联系方式</w:t>
      </w:r>
      <w:r>
        <w:rPr>
          <w:rFonts w:hint="eastAsia"/>
          <w:color w:val="auto"/>
          <w:sz w:val="24"/>
          <w:szCs w:val="24"/>
        </w:rPr>
        <w:t>、征求公众意见的主要内容、</w:t>
      </w:r>
      <w:r>
        <w:rPr>
          <w:rFonts w:hint="eastAsia"/>
          <w:color w:val="auto"/>
          <w:sz w:val="24"/>
          <w:szCs w:val="24"/>
          <w:lang w:eastAsia="zh-CN"/>
        </w:rPr>
        <w:t>公众意见表的网络链接、</w:t>
      </w:r>
      <w:r>
        <w:rPr>
          <w:rFonts w:hint="eastAsia"/>
          <w:color w:val="auto"/>
          <w:sz w:val="24"/>
          <w:szCs w:val="24"/>
        </w:rPr>
        <w:t>征求意见方式、公众提出意见的起止时间</w:t>
      </w:r>
      <w:r>
        <w:rPr>
          <w:rFonts w:hint="eastAsia"/>
          <w:color w:val="auto"/>
          <w:sz w:val="24"/>
          <w:szCs w:val="24"/>
          <w:lang w:eastAsia="zh-CN"/>
        </w:rPr>
        <w:t>、</w:t>
      </w:r>
      <w:r>
        <w:rPr>
          <w:rFonts w:hint="eastAsia"/>
          <w:color w:val="auto"/>
          <w:sz w:val="24"/>
          <w:szCs w:val="24"/>
        </w:rPr>
        <w:t>。</w:t>
      </w:r>
      <w:r>
        <w:rPr>
          <w:rFonts w:hint="eastAsia"/>
          <w:color w:val="auto"/>
          <w:sz w:val="24"/>
          <w:szCs w:val="24"/>
          <w:lang w:eastAsia="zh-CN"/>
        </w:rPr>
        <w:t>首次信息公开内容及方式</w:t>
      </w:r>
      <w:r>
        <w:rPr>
          <w:rFonts w:hint="eastAsia"/>
          <w:color w:val="auto"/>
          <w:sz w:val="24"/>
          <w:szCs w:val="24"/>
        </w:rPr>
        <w:t>符合《环境影响评价公众参与办法》的要求。</w:t>
      </w:r>
      <w:r>
        <w:rPr>
          <w:rFonts w:hint="eastAsia" w:ascii="Times New Roman" w:hAnsi="Times New Roman"/>
          <w:color w:val="auto"/>
          <w:highlight w:val="none"/>
        </w:rPr>
        <w:t>公示期内，未收到任何的反馈信息。</w:t>
      </w:r>
    </w:p>
    <w:p>
      <w:pPr>
        <w:bidi w:val="0"/>
      </w:pPr>
      <w:bookmarkStart w:id="19" w:name="_Toc27434"/>
    </w:p>
    <w:p>
      <w:pPr>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3"/>
        <w:bidi w:val="0"/>
        <w:rPr>
          <w:color w:val="auto"/>
        </w:rPr>
      </w:pPr>
      <w:bookmarkStart w:id="20" w:name="_Toc18838"/>
      <w:r>
        <w:rPr>
          <w:rFonts w:hint="eastAsia"/>
          <w:color w:val="auto"/>
        </w:rPr>
        <w:t>征求意见稿公示情况</w:t>
      </w:r>
      <w:bookmarkEnd w:id="19"/>
      <w:bookmarkEnd w:id="20"/>
      <w:r>
        <w:rPr>
          <w:rFonts w:hint="eastAsia"/>
          <w:color w:val="auto"/>
        </w:rPr>
        <w:t xml:space="preserve"> </w:t>
      </w:r>
    </w:p>
    <w:p>
      <w:pPr>
        <w:pStyle w:val="4"/>
        <w:bidi w:val="0"/>
        <w:rPr>
          <w:color w:val="auto"/>
        </w:rPr>
      </w:pPr>
      <w:bookmarkStart w:id="21" w:name="_Toc7042"/>
      <w:bookmarkStart w:id="22" w:name="_Toc1260"/>
      <w:r>
        <w:rPr>
          <w:rFonts w:hint="eastAsia"/>
          <w:color w:val="auto"/>
          <w:lang w:eastAsia="zh-CN"/>
        </w:rPr>
        <w:t>征求意见稿</w:t>
      </w:r>
      <w:r>
        <w:rPr>
          <w:rFonts w:hint="eastAsia"/>
          <w:color w:val="auto"/>
        </w:rPr>
        <w:t>公示内容及时限</w:t>
      </w:r>
      <w:bookmarkEnd w:id="21"/>
      <w:bookmarkEnd w:id="22"/>
      <w:r>
        <w:rPr>
          <w:rFonts w:hint="eastAsia"/>
          <w:color w:val="auto"/>
        </w:rPr>
        <w:t xml:space="preserve"> </w:t>
      </w:r>
    </w:p>
    <w:p>
      <w:pPr>
        <w:rPr>
          <w:color w:val="auto"/>
        </w:rPr>
      </w:pPr>
      <w:r>
        <w:rPr>
          <w:color w:val="auto"/>
        </w:rPr>
        <w:t>第十条</w:t>
      </w:r>
      <w:r>
        <w:rPr>
          <w:rFonts w:hint="eastAsia"/>
          <w:color w:val="auto"/>
          <w:lang w:val="en-US" w:eastAsia="zh-CN"/>
        </w:rPr>
        <w:t xml:space="preserve"> </w:t>
      </w:r>
      <w:r>
        <w:rPr>
          <w:color w:val="auto"/>
        </w:rPr>
        <w:t>建设项目环境影响报告书征求意见稿形成后，建设单位应当公开下列信息，征求与该建设项目环境影响有关的意见：</w:t>
      </w:r>
    </w:p>
    <w:p>
      <w:pPr>
        <w:ind w:firstLine="480"/>
        <w:rPr>
          <w:color w:val="auto"/>
        </w:rPr>
      </w:pPr>
      <w:r>
        <w:rPr>
          <w:color w:val="auto"/>
        </w:rPr>
        <w:t>（一）环境影响报告书征求意见稿全文的网络链接及查阅纸质报告书的方式和途径；</w:t>
      </w:r>
    </w:p>
    <w:p>
      <w:pPr>
        <w:ind w:firstLine="480"/>
        <w:rPr>
          <w:color w:val="auto"/>
        </w:rPr>
      </w:pPr>
      <w:r>
        <w:rPr>
          <w:color w:val="auto"/>
        </w:rPr>
        <w:t>（二）征求意见的公众范围；</w:t>
      </w:r>
    </w:p>
    <w:p>
      <w:pPr>
        <w:ind w:firstLine="480"/>
        <w:rPr>
          <w:color w:val="auto"/>
        </w:rPr>
      </w:pPr>
      <w:r>
        <w:rPr>
          <w:color w:val="auto"/>
        </w:rPr>
        <w:t>（三）公众意见表的网络链接；</w:t>
      </w:r>
    </w:p>
    <w:p>
      <w:pPr>
        <w:ind w:firstLine="480"/>
        <w:rPr>
          <w:color w:val="auto"/>
        </w:rPr>
      </w:pPr>
      <w:r>
        <w:rPr>
          <w:color w:val="auto"/>
        </w:rPr>
        <w:t>（四）公众提出意见的方式和途径；</w:t>
      </w:r>
    </w:p>
    <w:p>
      <w:pPr>
        <w:ind w:firstLine="480"/>
        <w:rPr>
          <w:color w:val="auto"/>
        </w:rPr>
      </w:pPr>
      <w:r>
        <w:rPr>
          <w:color w:val="auto"/>
        </w:rPr>
        <w:t>（五）公众提出意见的起止时间。</w:t>
      </w:r>
    </w:p>
    <w:p>
      <w:pPr>
        <w:ind w:firstLine="480"/>
        <w:rPr>
          <w:color w:val="auto"/>
        </w:rPr>
      </w:pPr>
      <w:r>
        <w:rPr>
          <w:color w:val="auto"/>
        </w:rPr>
        <w:t>建设单位征求公众意见的期限不得少于10个工作日。</w:t>
      </w:r>
    </w:p>
    <w:p>
      <w:pPr>
        <w:ind w:firstLine="480"/>
        <w:rPr>
          <w:color w:val="auto"/>
        </w:rPr>
      </w:pPr>
      <w:r>
        <w:rPr>
          <w:color w:val="auto"/>
        </w:rPr>
        <w:t>第十一条依照本办法第十条规定应当公开的信息，建设单位应当通过下列三种方式同步公开：</w:t>
      </w:r>
    </w:p>
    <w:p>
      <w:pPr>
        <w:ind w:firstLine="480"/>
        <w:rPr>
          <w:color w:val="auto"/>
        </w:rPr>
      </w:pPr>
      <w:r>
        <w:rPr>
          <w:color w:val="auto"/>
        </w:rPr>
        <w:t>（一）通过网络平台公开，且持续公开期限不得少于10个工作日；</w:t>
      </w:r>
    </w:p>
    <w:p>
      <w:pPr>
        <w:ind w:firstLine="480"/>
        <w:rPr>
          <w:color w:val="auto"/>
        </w:rPr>
      </w:pPr>
      <w:r>
        <w:rPr>
          <w:color w:val="auto"/>
        </w:rPr>
        <w:t>（二）通过建设项目所在地公众易于接触的报纸公开，且在征求意见的10个工作日内公开信息不得少于2次；</w:t>
      </w:r>
    </w:p>
    <w:p>
      <w:pPr>
        <w:ind w:firstLine="480"/>
        <w:rPr>
          <w:color w:val="auto"/>
        </w:rPr>
      </w:pPr>
      <w:r>
        <w:rPr>
          <w:color w:val="auto"/>
        </w:rPr>
        <w:t>（三）通过在建设项目所在地公众易于知悉的场所张贴公告的方式公开，且持续公开期限不得少于10个工作日。</w:t>
      </w:r>
    </w:p>
    <w:p>
      <w:pPr>
        <w:ind w:firstLine="480"/>
        <w:rPr>
          <w:color w:val="auto"/>
        </w:rPr>
      </w:pPr>
      <w:r>
        <w:rPr>
          <w:color w:val="auto"/>
        </w:rPr>
        <w:t>鼓励建设单位通过广播、电视、微信、微博及其他新媒体等多种形式发布本办法第十条规定的信息。</w:t>
      </w:r>
    </w:p>
    <w:p>
      <w:pPr>
        <w:pStyle w:val="4"/>
        <w:bidi w:val="0"/>
        <w:rPr>
          <w:rFonts w:hint="eastAsia" w:ascii="Times New Roman" w:hAnsi="Times New Roman"/>
          <w:color w:val="auto"/>
          <w:highlight w:val="none"/>
        </w:rPr>
      </w:pPr>
      <w:bookmarkStart w:id="23" w:name="_Toc1582"/>
      <w:bookmarkStart w:id="24" w:name="_Toc16294"/>
      <w:r>
        <w:rPr>
          <w:rFonts w:hint="eastAsia" w:ascii="Times New Roman" w:hAnsi="Times New Roman"/>
          <w:color w:val="auto"/>
          <w:highlight w:val="none"/>
        </w:rPr>
        <w:t>公示方式</w:t>
      </w:r>
      <w:bookmarkEnd w:id="23"/>
      <w:bookmarkEnd w:id="24"/>
      <w:r>
        <w:rPr>
          <w:rFonts w:hint="eastAsia" w:ascii="Times New Roman" w:hAnsi="Times New Roman"/>
          <w:color w:val="auto"/>
          <w:highlight w:val="none"/>
        </w:rPr>
        <w:t xml:space="preserve"> </w:t>
      </w:r>
    </w:p>
    <w:p>
      <w:pPr>
        <w:pStyle w:val="5"/>
        <w:keepNext/>
        <w:keepLines/>
        <w:pageBreakBefore w:val="0"/>
        <w:widowControl w:val="0"/>
        <w:kinsoku/>
        <w:wordWrap/>
        <w:overflowPunct/>
        <w:topLinePunct w:val="0"/>
        <w:autoSpaceDE/>
        <w:autoSpaceDN/>
        <w:bidi w:val="0"/>
        <w:adjustRightInd/>
        <w:snapToGrid/>
        <w:ind w:left="240" w:leftChars="100"/>
        <w:jc w:val="left"/>
        <w:textAlignment w:val="auto"/>
        <w:rPr>
          <w:b/>
          <w:bCs/>
          <w:color w:val="auto"/>
          <w:highlight w:val="none"/>
        </w:rPr>
      </w:pPr>
      <w:r>
        <w:rPr>
          <w:rFonts w:hint="eastAsia"/>
          <w:b/>
          <w:bCs/>
          <w:color w:val="auto"/>
          <w:highlight w:val="none"/>
        </w:rPr>
        <w:t>网络</w:t>
      </w:r>
      <w:r>
        <w:rPr>
          <w:rFonts w:hint="eastAsia"/>
          <w:b/>
          <w:bCs/>
          <w:color w:val="auto"/>
          <w:highlight w:val="none"/>
          <w:lang w:eastAsia="zh-CN"/>
        </w:rPr>
        <w:t>公示</w:t>
      </w:r>
    </w:p>
    <w:p>
      <w:pPr>
        <w:ind w:firstLine="480"/>
        <w:rPr>
          <w:rFonts w:hint="eastAsia"/>
          <w:color w:val="auto"/>
          <w:highlight w:val="none"/>
          <w:u w:val="none"/>
          <w:lang w:eastAsia="zh-CN"/>
        </w:rPr>
      </w:pPr>
      <w:r>
        <w:rPr>
          <w:rFonts w:hint="eastAsia"/>
          <w:color w:val="auto"/>
          <w:highlight w:val="none"/>
          <w:lang w:val="en-US" w:eastAsia="zh-CN"/>
        </w:rPr>
        <w:t>本项目于2021年8月4日起至8月11日止，于葫芦岛天启晟业化工有限公司官方网站公开了以下信息：环境影响报告书征求意见稿全文的网络链接及查阅纸质报告书的方式和途径、征求意见的公众范围、公众意见表的网络链接、公众提出意见的方式和途径以及公众提出意见的起止时间。项目公示内容、方式及时限均符合</w:t>
      </w:r>
      <w:r>
        <w:rPr>
          <w:color w:val="auto"/>
          <w:highlight w:val="none"/>
        </w:rPr>
        <w:t>《环境影响评价公众参与办法》</w:t>
      </w:r>
      <w:r>
        <w:rPr>
          <w:rFonts w:hint="eastAsia"/>
          <w:color w:val="auto"/>
          <w:highlight w:val="none"/>
          <w:lang w:eastAsia="zh-CN"/>
        </w:rPr>
        <w:t>（生态环境部令第</w:t>
      </w:r>
      <w:r>
        <w:rPr>
          <w:rFonts w:hint="eastAsia"/>
          <w:color w:val="auto"/>
          <w:highlight w:val="none"/>
          <w:lang w:val="en-US" w:eastAsia="zh-CN"/>
        </w:rPr>
        <w:t>4号，2019年1月1日起施行</w:t>
      </w:r>
      <w:r>
        <w:rPr>
          <w:rFonts w:hint="eastAsia"/>
          <w:color w:val="auto"/>
          <w:highlight w:val="none"/>
          <w:lang w:eastAsia="zh-CN"/>
        </w:rPr>
        <w:t>）相关条款要</w:t>
      </w:r>
      <w:r>
        <w:rPr>
          <w:rFonts w:hint="eastAsia"/>
          <w:color w:val="auto"/>
          <w:highlight w:val="none"/>
          <w:u w:val="none"/>
          <w:lang w:eastAsia="zh-CN"/>
        </w:rPr>
        <w:t>求。</w:t>
      </w:r>
    </w:p>
    <w:p>
      <w:pPr>
        <w:keepNext w:val="0"/>
        <w:keepLines w:val="0"/>
        <w:pageBreakBefore w:val="0"/>
        <w:widowControl w:val="0"/>
        <w:kinsoku/>
        <w:wordWrap w:val="0"/>
        <w:overflowPunct/>
        <w:topLinePunct w:val="0"/>
        <w:autoSpaceDE/>
        <w:autoSpaceDN/>
        <w:bidi w:val="0"/>
        <w:adjustRightInd/>
        <w:snapToGrid/>
        <w:ind w:firstLine="0" w:firstLineChars="0"/>
        <w:jc w:val="center"/>
        <w:textAlignment w:val="auto"/>
        <w:rPr>
          <w:rFonts w:hint="eastAsia"/>
          <w:color w:val="0070C0"/>
          <w:highlight w:val="none"/>
          <w:lang w:eastAsia="zh-CN"/>
        </w:rPr>
      </w:pPr>
      <w:r>
        <w:drawing>
          <wp:inline distT="0" distB="0" distL="114300" distR="114300">
            <wp:extent cx="5262880" cy="4038600"/>
            <wp:effectExtent l="0" t="0" r="1397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4"/>
                    <a:stretch>
                      <a:fillRect/>
                    </a:stretch>
                  </pic:blipFill>
                  <pic:spPr>
                    <a:xfrm>
                      <a:off x="0" y="0"/>
                      <a:ext cx="5262880" cy="4038600"/>
                    </a:xfrm>
                    <a:prstGeom prst="rect">
                      <a:avLst/>
                    </a:prstGeom>
                    <a:noFill/>
                    <a:ln>
                      <a:noFill/>
                    </a:ln>
                  </pic:spPr>
                </pic:pic>
              </a:graphicData>
            </a:graphic>
          </wp:inline>
        </w:drawing>
      </w:r>
    </w:p>
    <w:p>
      <w:pPr>
        <w:pStyle w:val="5"/>
        <w:keepNext/>
        <w:keepLines/>
        <w:pageBreakBefore w:val="0"/>
        <w:widowControl w:val="0"/>
        <w:kinsoku/>
        <w:wordWrap/>
        <w:overflowPunct/>
        <w:topLinePunct w:val="0"/>
        <w:autoSpaceDE/>
        <w:autoSpaceDN/>
        <w:bidi w:val="0"/>
        <w:adjustRightInd/>
        <w:snapToGrid/>
        <w:ind w:left="240" w:leftChars="100"/>
        <w:jc w:val="left"/>
        <w:textAlignment w:val="auto"/>
        <w:rPr>
          <w:rFonts w:hint="eastAsia"/>
          <w:b/>
          <w:bCs/>
          <w:color w:val="auto"/>
          <w:highlight w:val="none"/>
          <w:lang w:eastAsia="zh-CN"/>
        </w:rPr>
      </w:pPr>
      <w:r>
        <w:rPr>
          <w:rFonts w:hint="eastAsia"/>
          <w:b/>
          <w:bCs/>
          <w:color w:val="auto"/>
          <w:highlight w:val="none"/>
          <w:lang w:eastAsia="zh-CN"/>
        </w:rPr>
        <w:t>报纸</w:t>
      </w:r>
    </w:p>
    <w:p>
      <w:pPr>
        <w:ind w:firstLine="480"/>
        <w:rPr>
          <w:rFonts w:hint="eastAsia"/>
          <w:color w:val="auto"/>
          <w:highlight w:val="none"/>
          <w:lang w:val="en-US" w:eastAsia="zh-CN"/>
        </w:rPr>
      </w:pPr>
      <w:r>
        <w:rPr>
          <w:rFonts w:hint="eastAsia"/>
          <w:color w:val="auto"/>
          <w:highlight w:val="none"/>
          <w:lang w:val="en-US" w:eastAsia="zh-CN"/>
        </w:rPr>
        <w:t>按照《环境影响评价公众参与办法》（生态环境部令第4号，2019年1月1日起施行）相关条款规定，本项目于2021年8月4日起至8月11日止，5个工作日内，分别于2021年8月5日、9日，在《辽沈晚报》报纸对本项目环境影响评价征求意见稿信息进行公示，公示内容如下：</w:t>
      </w:r>
    </w:p>
    <w:p>
      <w:pPr>
        <w:numPr>
          <w:ilvl w:val="0"/>
          <w:numId w:val="3"/>
        </w:numPr>
        <w:ind w:firstLine="480"/>
        <w:rPr>
          <w:rFonts w:hint="eastAsia"/>
          <w:color w:val="auto"/>
          <w:highlight w:val="none"/>
          <w:lang w:val="en-US" w:eastAsia="zh-CN"/>
        </w:rPr>
      </w:pPr>
      <w:r>
        <w:rPr>
          <w:rFonts w:hint="eastAsia"/>
          <w:color w:val="auto"/>
          <w:highlight w:val="none"/>
          <w:lang w:val="en-US" w:eastAsia="zh-CN"/>
        </w:rPr>
        <w:t>环境影响报告书征求意见稿全文的网络链接及查阅纸质报告书的方式和途径；</w:t>
      </w:r>
    </w:p>
    <w:p>
      <w:pPr>
        <w:numPr>
          <w:ilvl w:val="0"/>
          <w:numId w:val="3"/>
        </w:numPr>
        <w:ind w:firstLine="480"/>
        <w:rPr>
          <w:rFonts w:hint="eastAsia"/>
          <w:color w:val="auto"/>
          <w:highlight w:val="none"/>
          <w:lang w:val="en-US" w:eastAsia="zh-CN"/>
        </w:rPr>
      </w:pPr>
      <w:r>
        <w:rPr>
          <w:rFonts w:hint="eastAsia"/>
          <w:color w:val="auto"/>
          <w:highlight w:val="none"/>
          <w:lang w:val="en-US" w:eastAsia="zh-CN"/>
        </w:rPr>
        <w:t>征求意见的公众范围；</w:t>
      </w:r>
    </w:p>
    <w:p>
      <w:pPr>
        <w:numPr>
          <w:ilvl w:val="0"/>
          <w:numId w:val="3"/>
        </w:numPr>
        <w:ind w:firstLine="480"/>
        <w:rPr>
          <w:rFonts w:hint="eastAsia"/>
          <w:color w:val="auto"/>
          <w:highlight w:val="none"/>
          <w:lang w:val="en-US" w:eastAsia="zh-CN"/>
        </w:rPr>
      </w:pPr>
      <w:r>
        <w:rPr>
          <w:rFonts w:hint="eastAsia"/>
          <w:color w:val="auto"/>
          <w:highlight w:val="none"/>
          <w:lang w:val="en-US" w:eastAsia="zh-CN"/>
        </w:rPr>
        <w:t>公众意见表的网络链接；</w:t>
      </w:r>
    </w:p>
    <w:p>
      <w:pPr>
        <w:numPr>
          <w:ilvl w:val="0"/>
          <w:numId w:val="3"/>
        </w:numPr>
        <w:ind w:firstLine="480"/>
        <w:rPr>
          <w:rFonts w:hint="eastAsia"/>
          <w:color w:val="auto"/>
          <w:highlight w:val="none"/>
          <w:lang w:val="en-US" w:eastAsia="zh-CN"/>
        </w:rPr>
      </w:pPr>
      <w:r>
        <w:rPr>
          <w:rFonts w:hint="eastAsia"/>
          <w:color w:val="auto"/>
          <w:highlight w:val="none"/>
          <w:lang w:val="en-US" w:eastAsia="zh-CN"/>
        </w:rPr>
        <w:t>公众提出意见的方式和途径；</w:t>
      </w:r>
    </w:p>
    <w:p>
      <w:pPr>
        <w:numPr>
          <w:ilvl w:val="0"/>
          <w:numId w:val="3"/>
        </w:numPr>
        <w:ind w:firstLine="480"/>
        <w:rPr>
          <w:rFonts w:hint="eastAsia"/>
          <w:color w:val="auto"/>
          <w:highlight w:val="none"/>
          <w:lang w:val="en-US" w:eastAsia="zh-CN"/>
        </w:rPr>
      </w:pPr>
      <w:r>
        <w:rPr>
          <w:rFonts w:hint="eastAsia"/>
          <w:color w:val="auto"/>
          <w:highlight w:val="none"/>
          <w:lang w:val="en-US" w:eastAsia="zh-CN"/>
        </w:rPr>
        <w:t>公众提出意见的起止时间。报纸公示图片如下图所示。</w:t>
      </w:r>
    </w:p>
    <w:p>
      <w:pPr>
        <w:pStyle w:val="16"/>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微软雅黑" w:hAnsi="微软雅黑" w:eastAsia="微软雅黑" w:cs="微软雅黑"/>
          <w:color w:val="0070C0"/>
          <w:sz w:val="24"/>
          <w:szCs w:val="24"/>
          <w:highlight w:val="none"/>
          <w:shd w:val="clear" w:fill="FFFFFF"/>
          <w:lang w:eastAsia="zh-CN"/>
        </w:rPr>
      </w:pPr>
      <w:r>
        <w:rPr>
          <w:rFonts w:hint="eastAsia" w:ascii="微软雅黑" w:hAnsi="微软雅黑" w:eastAsia="微软雅黑" w:cs="微软雅黑"/>
          <w:color w:val="0070C0"/>
          <w:sz w:val="24"/>
          <w:szCs w:val="24"/>
          <w:highlight w:val="none"/>
          <w:shd w:val="clear" w:fill="FFFFFF"/>
          <w:lang w:eastAsia="zh-CN"/>
        </w:rPr>
        <w:drawing>
          <wp:inline distT="0" distB="0" distL="114300" distR="114300">
            <wp:extent cx="3810000" cy="8487410"/>
            <wp:effectExtent l="0" t="0" r="0" b="8890"/>
            <wp:docPr id="10" name="图片 10" descr="6ac80ff331c38282a2d5f23797f5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ac80ff331c38282a2d5f23797f5c31"/>
                    <pic:cNvPicPr>
                      <a:picLocks noChangeAspect="1"/>
                    </pic:cNvPicPr>
                  </pic:nvPicPr>
                  <pic:blipFill>
                    <a:blip r:embed="rId15"/>
                    <a:stretch>
                      <a:fillRect/>
                    </a:stretch>
                  </pic:blipFill>
                  <pic:spPr>
                    <a:xfrm>
                      <a:off x="0" y="0"/>
                      <a:ext cx="3810000" cy="8487410"/>
                    </a:xfrm>
                    <a:prstGeom prst="rect">
                      <a:avLst/>
                    </a:prstGeom>
                  </pic:spPr>
                </pic:pic>
              </a:graphicData>
            </a:graphic>
          </wp:inline>
        </w:drawing>
      </w:r>
    </w:p>
    <w:p>
      <w:pPr>
        <w:pStyle w:val="20"/>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jc w:val="center"/>
        <w:textAlignment w:val="auto"/>
        <w:rPr>
          <w:rFonts w:hint="default" w:ascii="Times New Roman" w:hAnsi="Times New Roman" w:eastAsia="宋体" w:cs="Times New Roman"/>
          <w:color w:val="auto"/>
          <w:sz w:val="24"/>
          <w:szCs w:val="24"/>
          <w:highlight w:val="none"/>
          <w:shd w:val="clear" w:fill="FFFFFF"/>
          <w:lang w:val="en-US" w:eastAsia="zh-CN"/>
        </w:rPr>
      </w:pPr>
      <w:r>
        <w:rPr>
          <w:rFonts w:hint="default" w:ascii="Times New Roman" w:hAnsi="Times New Roman" w:eastAsia="宋体" w:cs="Times New Roman"/>
          <w:b/>
          <w:bCs/>
          <w:color w:val="auto"/>
          <w:sz w:val="24"/>
          <w:szCs w:val="24"/>
          <w:highlight w:val="none"/>
          <w:shd w:val="clear" w:fill="FFFFFF"/>
          <w:lang w:val="en-US" w:eastAsia="zh-CN"/>
        </w:rPr>
        <w:t>20</w:t>
      </w:r>
      <w:r>
        <w:rPr>
          <w:rFonts w:hint="eastAsia" w:eastAsia="宋体" w:cs="Times New Roman"/>
          <w:b/>
          <w:bCs/>
          <w:color w:val="auto"/>
          <w:sz w:val="24"/>
          <w:szCs w:val="24"/>
          <w:highlight w:val="none"/>
          <w:shd w:val="clear" w:fill="FFFFFF"/>
          <w:lang w:val="en-US" w:eastAsia="zh-CN"/>
        </w:rPr>
        <w:t>21</w:t>
      </w:r>
      <w:r>
        <w:rPr>
          <w:rFonts w:hint="default" w:ascii="Times New Roman" w:hAnsi="Times New Roman" w:eastAsia="宋体" w:cs="Times New Roman"/>
          <w:b/>
          <w:bCs/>
          <w:color w:val="auto"/>
          <w:sz w:val="24"/>
          <w:szCs w:val="24"/>
          <w:highlight w:val="none"/>
          <w:shd w:val="clear" w:fill="FFFFFF"/>
          <w:lang w:val="en-US" w:eastAsia="zh-CN"/>
        </w:rPr>
        <w:t>年</w:t>
      </w:r>
      <w:r>
        <w:rPr>
          <w:rFonts w:hint="eastAsia" w:eastAsia="宋体" w:cs="Times New Roman"/>
          <w:b/>
          <w:bCs/>
          <w:color w:val="auto"/>
          <w:sz w:val="24"/>
          <w:szCs w:val="24"/>
          <w:highlight w:val="none"/>
          <w:shd w:val="clear" w:fill="FFFFFF"/>
          <w:lang w:val="en-US" w:eastAsia="zh-CN"/>
        </w:rPr>
        <w:t>8</w:t>
      </w:r>
      <w:r>
        <w:rPr>
          <w:rFonts w:hint="default" w:ascii="Times New Roman" w:hAnsi="Times New Roman" w:eastAsia="宋体" w:cs="Times New Roman"/>
          <w:b/>
          <w:bCs/>
          <w:color w:val="auto"/>
          <w:sz w:val="24"/>
          <w:szCs w:val="24"/>
          <w:highlight w:val="none"/>
          <w:shd w:val="clear" w:fill="FFFFFF"/>
          <w:lang w:val="en-US" w:eastAsia="zh-CN"/>
        </w:rPr>
        <w:t>月</w:t>
      </w:r>
      <w:r>
        <w:rPr>
          <w:rFonts w:hint="eastAsia" w:eastAsia="宋体" w:cs="Times New Roman"/>
          <w:b/>
          <w:bCs/>
          <w:color w:val="auto"/>
          <w:sz w:val="24"/>
          <w:szCs w:val="24"/>
          <w:highlight w:val="none"/>
          <w:shd w:val="clear" w:fill="FFFFFF"/>
          <w:lang w:val="en-US" w:eastAsia="zh-CN"/>
        </w:rPr>
        <w:t>5</w:t>
      </w:r>
      <w:r>
        <w:rPr>
          <w:rFonts w:hint="default" w:ascii="Times New Roman" w:hAnsi="Times New Roman" w:eastAsia="宋体" w:cs="Times New Roman"/>
          <w:b/>
          <w:bCs/>
          <w:color w:val="auto"/>
          <w:sz w:val="24"/>
          <w:szCs w:val="24"/>
          <w:highlight w:val="none"/>
          <w:shd w:val="clear" w:fill="FFFFFF"/>
          <w:lang w:val="en-US" w:eastAsia="zh-CN"/>
        </w:rPr>
        <w:t>日《</w:t>
      </w:r>
      <w:r>
        <w:rPr>
          <w:rFonts w:hint="eastAsia" w:eastAsia="宋体" w:cs="Times New Roman"/>
          <w:b/>
          <w:bCs/>
          <w:color w:val="auto"/>
          <w:sz w:val="24"/>
          <w:szCs w:val="24"/>
          <w:highlight w:val="none"/>
          <w:shd w:val="clear" w:fill="FFFFFF"/>
          <w:lang w:val="en-US" w:eastAsia="zh-CN"/>
        </w:rPr>
        <w:t>辽沈晚报</w:t>
      </w:r>
      <w:r>
        <w:rPr>
          <w:rFonts w:hint="default" w:ascii="Times New Roman" w:hAnsi="Times New Roman" w:eastAsia="宋体" w:cs="Times New Roman"/>
          <w:b/>
          <w:bCs/>
          <w:color w:val="auto"/>
          <w:sz w:val="24"/>
          <w:szCs w:val="24"/>
          <w:highlight w:val="none"/>
          <w:shd w:val="clear" w:fill="FFFFFF"/>
          <w:lang w:val="en-US" w:eastAsia="zh-CN"/>
        </w:rPr>
        <w:t>》头版</w:t>
      </w:r>
    </w:p>
    <w:p>
      <w:pPr>
        <w:pStyle w:val="20"/>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firstLine="0" w:firstLineChars="0"/>
        <w:jc w:val="center"/>
        <w:textAlignment w:val="auto"/>
        <w:rPr>
          <w:rFonts w:hint="eastAsia" w:ascii="微软雅黑" w:hAnsi="微软雅黑" w:cs="微软雅黑" w:eastAsiaTheme="minorEastAsia"/>
          <w:color w:val="0070C0"/>
          <w:sz w:val="24"/>
          <w:szCs w:val="24"/>
          <w:highlight w:val="none"/>
          <w:shd w:val="clear" w:fill="FFFFFF"/>
          <w:lang w:eastAsia="zh-CN"/>
        </w:rPr>
      </w:pPr>
      <w:r>
        <w:rPr>
          <w:color w:val="0070C0"/>
          <w:sz w:val="24"/>
        </w:rPr>
        <mc:AlternateContent>
          <mc:Choice Requires="wps">
            <w:drawing>
              <wp:anchor distT="0" distB="0" distL="114300" distR="114300" simplePos="0" relativeHeight="251660288" behindDoc="0" locked="0" layoutInCell="1" allowOverlap="1">
                <wp:simplePos x="0" y="0"/>
                <wp:positionH relativeFrom="column">
                  <wp:posOffset>1312545</wp:posOffset>
                </wp:positionH>
                <wp:positionV relativeFrom="paragraph">
                  <wp:posOffset>6036310</wp:posOffset>
                </wp:positionV>
                <wp:extent cx="1010920" cy="1822450"/>
                <wp:effectExtent l="60960" t="39370" r="71120" b="43180"/>
                <wp:wrapNone/>
                <wp:docPr id="7" name="矩形 7"/>
                <wp:cNvGraphicFramePr/>
                <a:graphic xmlns:a="http://schemas.openxmlformats.org/drawingml/2006/main">
                  <a:graphicData uri="http://schemas.microsoft.com/office/word/2010/wordprocessingShape">
                    <wps:wsp>
                      <wps:cNvSpPr/>
                      <wps:spPr>
                        <a:xfrm rot="21420000">
                          <a:off x="2097405" y="1835785"/>
                          <a:ext cx="1010920" cy="1822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35pt;margin-top:475.3pt;height:143.5pt;width:79.6pt;rotation:-196608f;z-index:251660288;v-text-anchor:middle;mso-width-relative:page;mso-height-relative:page;" filled="f" stroked="t" coordsize="21600,21600" o:gfxdata="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Sd8Yd4AAAAMAQAADwAAAAAAAAABACAA&#10;AAAiAAAAZHJzL2Rvd25yZXYueG1sUEsBAhQAFAAAAAgAh07iQM15kjF5AgAA2wQAAA4AAAAAAAAA&#10;AQAgAAAALQEAAGRycy9lMm9Eb2MueG1sUEsFBgAAAAAGAAYAWQEAABgGAAAAAA==&#10;">
                <v:fill on="f" focussize="0,0"/>
                <v:stroke weight="2.25pt" color="#FF0000 [3204]" joinstyle="round"/>
                <v:imagedata o:title=""/>
                <o:lock v:ext="edit" aspectratio="f"/>
                <v:textbox>
                  <w:txbxContent>
                    <w:p>
                      <w:pPr>
                        <w:jc w:val="center"/>
                      </w:pPr>
                    </w:p>
                  </w:txbxContent>
                </v:textbox>
              </v:rect>
            </w:pict>
          </mc:Fallback>
        </mc:AlternateContent>
      </w:r>
      <w:r>
        <w:rPr>
          <w:rFonts w:hint="eastAsia" w:ascii="微软雅黑" w:hAnsi="微软雅黑" w:cs="微软雅黑" w:eastAsiaTheme="minorEastAsia"/>
          <w:color w:val="0070C0"/>
          <w:sz w:val="24"/>
          <w:szCs w:val="24"/>
          <w:highlight w:val="none"/>
          <w:shd w:val="clear" w:fill="FFFFFF"/>
          <w:lang w:eastAsia="zh-CN"/>
        </w:rPr>
        <w:drawing>
          <wp:inline distT="0" distB="0" distL="114300" distR="114300">
            <wp:extent cx="3736975" cy="8324850"/>
            <wp:effectExtent l="0" t="0" r="15875" b="0"/>
            <wp:docPr id="12" name="图片 12" descr="0cdb96093f11a1942ec355feb6f7e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cdb96093f11a1942ec355feb6f7ea6"/>
                    <pic:cNvPicPr>
                      <a:picLocks noChangeAspect="1"/>
                    </pic:cNvPicPr>
                  </pic:nvPicPr>
                  <pic:blipFill>
                    <a:blip r:embed="rId16"/>
                    <a:stretch>
                      <a:fillRect/>
                    </a:stretch>
                  </pic:blipFill>
                  <pic:spPr>
                    <a:xfrm>
                      <a:off x="0" y="0"/>
                      <a:ext cx="3736975" cy="8324850"/>
                    </a:xfrm>
                    <a:prstGeom prst="rect">
                      <a:avLst/>
                    </a:prstGeom>
                  </pic:spPr>
                </pic:pic>
              </a:graphicData>
            </a:graphic>
          </wp:inline>
        </w:drawing>
      </w:r>
    </w:p>
    <w:p>
      <w:pPr>
        <w:pStyle w:val="20"/>
        <w:keepNext w:val="0"/>
        <w:keepLines w:val="0"/>
        <w:pageBreakBefore w:val="0"/>
        <w:widowControl/>
        <w:suppressLineNumbers w:val="0"/>
        <w:kinsoku/>
        <w:wordWrap/>
        <w:overflowPunct/>
        <w:topLinePunct w:val="0"/>
        <w:autoSpaceDE/>
        <w:autoSpaceDN/>
        <w:bidi w:val="0"/>
        <w:adjustRightInd/>
        <w:snapToGrid w:val="0"/>
        <w:spacing w:beforeAutospacing="0" w:afterAutospacing="0" w:line="360" w:lineRule="auto"/>
        <w:ind w:left="0" w:leftChars="0" w:firstLine="0" w:firstLineChars="0"/>
        <w:jc w:val="center"/>
        <w:textAlignment w:val="auto"/>
        <w:rPr>
          <w:rFonts w:hint="default" w:ascii="Times New Roman" w:hAnsi="Times New Roman" w:eastAsia="宋体" w:cs="Times New Roman"/>
          <w:color w:val="auto"/>
          <w:sz w:val="24"/>
          <w:szCs w:val="24"/>
          <w:highlight w:val="none"/>
          <w:shd w:val="clear" w:fill="FFFFFF"/>
          <w:lang w:val="en-US" w:eastAsia="zh-CN"/>
        </w:rPr>
      </w:pPr>
      <w:r>
        <w:rPr>
          <w:rFonts w:hint="default" w:ascii="Times New Roman" w:hAnsi="Times New Roman" w:eastAsia="宋体" w:cs="Times New Roman"/>
          <w:b/>
          <w:bCs/>
          <w:color w:val="auto"/>
          <w:sz w:val="24"/>
          <w:szCs w:val="24"/>
          <w:highlight w:val="none"/>
          <w:shd w:val="clear" w:fill="FFFFFF"/>
          <w:lang w:val="en-US" w:eastAsia="zh-CN"/>
        </w:rPr>
        <w:t>20</w:t>
      </w:r>
      <w:r>
        <w:rPr>
          <w:rFonts w:hint="eastAsia" w:eastAsia="宋体" w:cs="Times New Roman"/>
          <w:b/>
          <w:bCs/>
          <w:color w:val="auto"/>
          <w:sz w:val="24"/>
          <w:szCs w:val="24"/>
          <w:highlight w:val="none"/>
          <w:shd w:val="clear" w:fill="FFFFFF"/>
          <w:lang w:val="en-US" w:eastAsia="zh-CN"/>
        </w:rPr>
        <w:t>21</w:t>
      </w:r>
      <w:r>
        <w:rPr>
          <w:rFonts w:hint="default" w:ascii="Times New Roman" w:hAnsi="Times New Roman" w:eastAsia="宋体" w:cs="Times New Roman"/>
          <w:b/>
          <w:bCs/>
          <w:color w:val="auto"/>
          <w:sz w:val="24"/>
          <w:szCs w:val="24"/>
          <w:highlight w:val="none"/>
          <w:shd w:val="clear" w:fill="FFFFFF"/>
          <w:lang w:val="en-US" w:eastAsia="zh-CN"/>
        </w:rPr>
        <w:t>年</w:t>
      </w:r>
      <w:r>
        <w:rPr>
          <w:rFonts w:hint="eastAsia" w:eastAsia="宋体" w:cs="Times New Roman"/>
          <w:b/>
          <w:bCs/>
          <w:color w:val="auto"/>
          <w:sz w:val="24"/>
          <w:szCs w:val="24"/>
          <w:highlight w:val="none"/>
          <w:shd w:val="clear" w:fill="FFFFFF"/>
          <w:lang w:val="en-US" w:eastAsia="zh-CN"/>
        </w:rPr>
        <w:t>8</w:t>
      </w:r>
      <w:r>
        <w:rPr>
          <w:rFonts w:hint="default" w:ascii="Times New Roman" w:hAnsi="Times New Roman" w:eastAsia="宋体" w:cs="Times New Roman"/>
          <w:b/>
          <w:bCs/>
          <w:color w:val="auto"/>
          <w:sz w:val="24"/>
          <w:szCs w:val="24"/>
          <w:highlight w:val="none"/>
          <w:shd w:val="clear" w:fill="FFFFFF"/>
          <w:lang w:val="en-US" w:eastAsia="zh-CN"/>
        </w:rPr>
        <w:t>月</w:t>
      </w:r>
      <w:r>
        <w:rPr>
          <w:rFonts w:hint="eastAsia" w:eastAsia="宋体" w:cs="Times New Roman"/>
          <w:b/>
          <w:bCs/>
          <w:color w:val="auto"/>
          <w:sz w:val="24"/>
          <w:szCs w:val="24"/>
          <w:highlight w:val="none"/>
          <w:shd w:val="clear" w:fill="FFFFFF"/>
          <w:lang w:val="en-US" w:eastAsia="zh-CN"/>
        </w:rPr>
        <w:t>5</w:t>
      </w:r>
      <w:r>
        <w:rPr>
          <w:rFonts w:hint="default" w:ascii="Times New Roman" w:hAnsi="Times New Roman" w:eastAsia="宋体" w:cs="Times New Roman"/>
          <w:b/>
          <w:bCs/>
          <w:color w:val="auto"/>
          <w:sz w:val="24"/>
          <w:szCs w:val="24"/>
          <w:highlight w:val="none"/>
          <w:shd w:val="clear" w:fill="FFFFFF"/>
          <w:lang w:val="en-US" w:eastAsia="zh-CN"/>
        </w:rPr>
        <w:t>日《</w:t>
      </w:r>
      <w:r>
        <w:rPr>
          <w:rFonts w:hint="eastAsia" w:eastAsia="宋体" w:cs="Times New Roman"/>
          <w:b/>
          <w:bCs/>
          <w:color w:val="auto"/>
          <w:sz w:val="24"/>
          <w:szCs w:val="24"/>
          <w:highlight w:val="none"/>
          <w:shd w:val="clear" w:fill="FFFFFF"/>
          <w:lang w:val="en-US" w:eastAsia="zh-CN"/>
        </w:rPr>
        <w:t>辽沈晚报</w:t>
      </w:r>
      <w:r>
        <w:rPr>
          <w:rFonts w:hint="default" w:ascii="Times New Roman" w:hAnsi="Times New Roman" w:eastAsia="宋体" w:cs="Times New Roman"/>
          <w:b/>
          <w:bCs/>
          <w:color w:val="auto"/>
          <w:sz w:val="24"/>
          <w:szCs w:val="24"/>
          <w:highlight w:val="none"/>
          <w:shd w:val="clear" w:fill="FFFFFF"/>
          <w:lang w:val="en-US" w:eastAsia="zh-CN"/>
        </w:rPr>
        <w:t>》</w:t>
      </w:r>
      <w:r>
        <w:rPr>
          <w:rFonts w:hint="eastAsia" w:eastAsia="宋体" w:cs="Times New Roman"/>
          <w:b/>
          <w:bCs/>
          <w:color w:val="auto"/>
          <w:sz w:val="24"/>
          <w:szCs w:val="24"/>
          <w:highlight w:val="none"/>
          <w:shd w:val="clear" w:fill="FFFFFF"/>
          <w:lang w:val="en-US" w:eastAsia="zh-CN"/>
        </w:rPr>
        <w:t>公示内容</w:t>
      </w:r>
    </w:p>
    <w:p>
      <w:pPr>
        <w:pStyle w:val="16"/>
        <w:ind w:left="0" w:leftChars="0" w:firstLine="0" w:firstLineChars="0"/>
        <w:jc w:val="center"/>
        <w:rPr>
          <w:rFonts w:hint="eastAsia" w:ascii="Times New Roman" w:hAnsi="Times New Roman" w:eastAsiaTheme="minorEastAsia"/>
          <w:color w:val="0070C0"/>
          <w:highlight w:val="none"/>
          <w:lang w:eastAsia="zh-CN"/>
        </w:rPr>
      </w:pPr>
      <w:r>
        <w:rPr>
          <w:rFonts w:hint="eastAsia" w:ascii="Times New Roman" w:hAnsi="Times New Roman" w:eastAsiaTheme="minorEastAsia"/>
          <w:color w:val="0070C0"/>
          <w:highlight w:val="none"/>
          <w:lang w:eastAsia="zh-CN"/>
        </w:rPr>
        <w:drawing>
          <wp:inline distT="0" distB="0" distL="114300" distR="114300">
            <wp:extent cx="3825875" cy="8522335"/>
            <wp:effectExtent l="0" t="0" r="3175" b="12065"/>
            <wp:docPr id="11" name="图片 11" descr="d15e01f7d3bef7c83418ea56fe409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15e01f7d3bef7c83418ea56fe409a6"/>
                    <pic:cNvPicPr>
                      <a:picLocks noChangeAspect="1"/>
                    </pic:cNvPicPr>
                  </pic:nvPicPr>
                  <pic:blipFill>
                    <a:blip r:embed="rId17"/>
                    <a:stretch>
                      <a:fillRect/>
                    </a:stretch>
                  </pic:blipFill>
                  <pic:spPr>
                    <a:xfrm>
                      <a:off x="0" y="0"/>
                      <a:ext cx="3825875" cy="8522335"/>
                    </a:xfrm>
                    <a:prstGeom prst="rect">
                      <a:avLst/>
                    </a:prstGeom>
                  </pic:spPr>
                </pic:pic>
              </a:graphicData>
            </a:graphic>
          </wp:inline>
        </w:drawing>
      </w:r>
    </w:p>
    <w:p>
      <w:pPr>
        <w:pStyle w:val="16"/>
        <w:ind w:left="0" w:leftChars="0" w:firstLine="0" w:firstLineChars="0"/>
        <w:jc w:val="center"/>
        <w:rPr>
          <w:rFonts w:hint="eastAsia" w:ascii="Times New Roman" w:hAnsi="Times New Roman"/>
          <w:color w:val="auto"/>
          <w:highlight w:val="none"/>
        </w:rPr>
      </w:pPr>
      <w:r>
        <w:rPr>
          <w:rFonts w:hint="default" w:ascii="Times New Roman" w:hAnsi="Times New Roman" w:eastAsia="宋体" w:cs="Times New Roman"/>
          <w:b/>
          <w:bCs/>
          <w:color w:val="auto"/>
          <w:sz w:val="24"/>
          <w:szCs w:val="24"/>
          <w:highlight w:val="none"/>
          <w:shd w:val="clear" w:fill="FFFFFF"/>
          <w:lang w:val="en-US" w:eastAsia="zh-CN"/>
        </w:rPr>
        <w:t>20</w:t>
      </w:r>
      <w:r>
        <w:rPr>
          <w:rFonts w:hint="eastAsia" w:eastAsia="宋体" w:cs="Times New Roman"/>
          <w:b/>
          <w:bCs/>
          <w:color w:val="auto"/>
          <w:sz w:val="24"/>
          <w:szCs w:val="24"/>
          <w:highlight w:val="none"/>
          <w:shd w:val="clear" w:fill="FFFFFF"/>
          <w:lang w:val="en-US" w:eastAsia="zh-CN"/>
        </w:rPr>
        <w:t>21</w:t>
      </w:r>
      <w:r>
        <w:rPr>
          <w:rFonts w:hint="default" w:ascii="Times New Roman" w:hAnsi="Times New Roman" w:eastAsia="宋体" w:cs="Times New Roman"/>
          <w:b/>
          <w:bCs/>
          <w:color w:val="auto"/>
          <w:sz w:val="24"/>
          <w:szCs w:val="24"/>
          <w:highlight w:val="none"/>
          <w:shd w:val="clear" w:fill="FFFFFF"/>
          <w:lang w:val="en-US" w:eastAsia="zh-CN"/>
        </w:rPr>
        <w:t>年</w:t>
      </w:r>
      <w:r>
        <w:rPr>
          <w:rFonts w:hint="eastAsia" w:eastAsia="宋体" w:cs="Times New Roman"/>
          <w:b/>
          <w:bCs/>
          <w:color w:val="auto"/>
          <w:sz w:val="24"/>
          <w:szCs w:val="24"/>
          <w:highlight w:val="none"/>
          <w:shd w:val="clear" w:fill="FFFFFF"/>
          <w:lang w:val="en-US" w:eastAsia="zh-CN"/>
        </w:rPr>
        <w:t>8</w:t>
      </w:r>
      <w:r>
        <w:rPr>
          <w:rFonts w:hint="default" w:ascii="Times New Roman" w:hAnsi="Times New Roman" w:eastAsia="宋体" w:cs="Times New Roman"/>
          <w:b/>
          <w:bCs/>
          <w:color w:val="auto"/>
          <w:sz w:val="24"/>
          <w:szCs w:val="24"/>
          <w:highlight w:val="none"/>
          <w:shd w:val="clear" w:fill="FFFFFF"/>
          <w:lang w:val="en-US" w:eastAsia="zh-CN"/>
        </w:rPr>
        <w:t>月</w:t>
      </w:r>
      <w:r>
        <w:rPr>
          <w:rFonts w:hint="eastAsia" w:eastAsia="宋体" w:cs="Times New Roman"/>
          <w:b/>
          <w:bCs/>
          <w:color w:val="auto"/>
          <w:sz w:val="24"/>
          <w:szCs w:val="24"/>
          <w:highlight w:val="none"/>
          <w:shd w:val="clear" w:fill="FFFFFF"/>
          <w:lang w:val="en-US" w:eastAsia="zh-CN"/>
        </w:rPr>
        <w:t>9</w:t>
      </w:r>
      <w:r>
        <w:rPr>
          <w:rFonts w:hint="default" w:ascii="Times New Roman" w:hAnsi="Times New Roman" w:eastAsia="宋体" w:cs="Times New Roman"/>
          <w:b/>
          <w:bCs/>
          <w:color w:val="auto"/>
          <w:sz w:val="24"/>
          <w:szCs w:val="24"/>
          <w:highlight w:val="none"/>
          <w:shd w:val="clear" w:fill="FFFFFF"/>
          <w:lang w:val="en-US" w:eastAsia="zh-CN"/>
        </w:rPr>
        <w:t>日《</w:t>
      </w:r>
      <w:r>
        <w:rPr>
          <w:rFonts w:hint="eastAsia" w:eastAsia="宋体" w:cs="Times New Roman"/>
          <w:b/>
          <w:bCs/>
          <w:color w:val="auto"/>
          <w:sz w:val="24"/>
          <w:szCs w:val="24"/>
          <w:highlight w:val="none"/>
          <w:shd w:val="clear" w:fill="FFFFFF"/>
          <w:lang w:val="en-US" w:eastAsia="zh-CN"/>
        </w:rPr>
        <w:t>辽沈晚报</w:t>
      </w:r>
      <w:r>
        <w:rPr>
          <w:rFonts w:hint="default" w:ascii="Times New Roman" w:hAnsi="Times New Roman" w:eastAsia="宋体" w:cs="Times New Roman"/>
          <w:b/>
          <w:bCs/>
          <w:color w:val="auto"/>
          <w:sz w:val="24"/>
          <w:szCs w:val="24"/>
          <w:highlight w:val="none"/>
          <w:shd w:val="clear" w:fill="FFFFFF"/>
          <w:lang w:val="en-US" w:eastAsia="zh-CN"/>
        </w:rPr>
        <w:t>》头版</w:t>
      </w:r>
    </w:p>
    <w:p>
      <w:pPr>
        <w:pStyle w:val="16"/>
        <w:ind w:left="0" w:leftChars="0" w:firstLine="0" w:firstLineChars="0"/>
        <w:jc w:val="center"/>
        <w:rPr>
          <w:rFonts w:hint="eastAsia" w:ascii="Times New Roman" w:hAnsi="Times New Roman" w:eastAsiaTheme="minorEastAsia"/>
          <w:color w:val="0070C0"/>
          <w:highlight w:val="none"/>
          <w:lang w:eastAsia="zh-CN"/>
        </w:rPr>
      </w:pPr>
      <w:r>
        <w:rPr>
          <w:color w:val="0070C0"/>
          <w:sz w:val="24"/>
        </w:rPr>
        <mc:AlternateContent>
          <mc:Choice Requires="wps">
            <w:drawing>
              <wp:anchor distT="0" distB="0" distL="114300" distR="114300" simplePos="0" relativeHeight="251661312" behindDoc="0" locked="0" layoutInCell="1" allowOverlap="1">
                <wp:simplePos x="0" y="0"/>
                <wp:positionH relativeFrom="column">
                  <wp:posOffset>2548255</wp:posOffset>
                </wp:positionH>
                <wp:positionV relativeFrom="paragraph">
                  <wp:posOffset>2960370</wp:posOffset>
                </wp:positionV>
                <wp:extent cx="894080" cy="1708785"/>
                <wp:effectExtent l="13970" t="13970" r="25400" b="29845"/>
                <wp:wrapNone/>
                <wp:docPr id="18" name="矩形 18"/>
                <wp:cNvGraphicFramePr/>
                <a:graphic xmlns:a="http://schemas.openxmlformats.org/drawingml/2006/main">
                  <a:graphicData uri="http://schemas.microsoft.com/office/word/2010/wordprocessingShape">
                    <wps:wsp>
                      <wps:cNvSpPr/>
                      <wps:spPr>
                        <a:xfrm>
                          <a:off x="0" y="0"/>
                          <a:ext cx="894080" cy="17087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0.65pt;margin-top:233.1pt;height:134.55pt;width:70.4pt;z-index:251661312;v-text-anchor:middle;mso-width-relative:page;mso-height-relative:page;" filled="f" stroked="t" coordsize="21600,21600" o:gfxdata="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O3wcDPaAAAACwEAAA8AAAAAAAAAAQAgAAAAIgAAAGRycy9kb3ducmV2LnhtbFBL&#10;AQIUABQAAAAIAIdO4kAHk6AxZgIAAMEEAAAOAAAAAAAAAAEAIAAAACkBAABkcnMvZTJvRG9jLnht&#10;bFBLBQYAAAAABgAGAFkBAAABBgAAAAA=&#10;">
                <v:fill on="f" focussize="0,0"/>
                <v:stroke weight="2.25pt" color="#FF0000 [3204]" joinstyle="round"/>
                <v:imagedata o:title=""/>
                <o:lock v:ext="edit" aspectratio="f"/>
                <v:textbox>
                  <w:txbxContent>
                    <w:p>
                      <w:pPr>
                        <w:jc w:val="center"/>
                      </w:pPr>
                    </w:p>
                  </w:txbxContent>
                </v:textbox>
              </v:rect>
            </w:pict>
          </mc:Fallback>
        </mc:AlternateContent>
      </w:r>
      <w:r>
        <w:rPr>
          <w:rFonts w:hint="eastAsia" w:ascii="Times New Roman" w:hAnsi="Times New Roman" w:eastAsiaTheme="minorEastAsia"/>
          <w:color w:val="0070C0"/>
          <w:highlight w:val="none"/>
          <w:lang w:eastAsia="zh-CN"/>
        </w:rPr>
        <w:drawing>
          <wp:inline distT="0" distB="0" distL="114300" distR="114300">
            <wp:extent cx="3766820" cy="8392795"/>
            <wp:effectExtent l="0" t="0" r="5080" b="8255"/>
            <wp:docPr id="13" name="图片 13" descr="751cc0390b7ff76db2cc91eedd0af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51cc0390b7ff76db2cc91eedd0afbe"/>
                    <pic:cNvPicPr>
                      <a:picLocks noChangeAspect="1"/>
                    </pic:cNvPicPr>
                  </pic:nvPicPr>
                  <pic:blipFill>
                    <a:blip r:embed="rId18"/>
                    <a:stretch>
                      <a:fillRect/>
                    </a:stretch>
                  </pic:blipFill>
                  <pic:spPr>
                    <a:xfrm>
                      <a:off x="0" y="0"/>
                      <a:ext cx="3766820" cy="8392795"/>
                    </a:xfrm>
                    <a:prstGeom prst="rect">
                      <a:avLst/>
                    </a:prstGeom>
                  </pic:spPr>
                </pic:pic>
              </a:graphicData>
            </a:graphic>
          </wp:inline>
        </w:drawing>
      </w:r>
    </w:p>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0" w:firstLineChars="0"/>
        <w:jc w:val="center"/>
        <w:textAlignment w:val="auto"/>
        <w:rPr>
          <w:rFonts w:hint="eastAsia" w:ascii="Times New Roman" w:hAnsi="Times New Roman"/>
          <w:color w:val="auto"/>
          <w:highlight w:val="none"/>
        </w:rPr>
      </w:pPr>
      <w:r>
        <w:rPr>
          <w:rFonts w:hint="default" w:ascii="Times New Roman" w:hAnsi="Times New Roman" w:eastAsia="宋体" w:cs="Times New Roman"/>
          <w:b/>
          <w:bCs/>
          <w:color w:val="auto"/>
          <w:sz w:val="24"/>
          <w:szCs w:val="24"/>
          <w:highlight w:val="none"/>
          <w:shd w:val="clear" w:fill="FFFFFF"/>
          <w:lang w:val="en-US" w:eastAsia="zh-CN"/>
        </w:rPr>
        <w:t>20</w:t>
      </w:r>
      <w:r>
        <w:rPr>
          <w:rFonts w:hint="eastAsia" w:eastAsia="宋体" w:cs="Times New Roman"/>
          <w:b/>
          <w:bCs/>
          <w:color w:val="auto"/>
          <w:sz w:val="24"/>
          <w:szCs w:val="24"/>
          <w:highlight w:val="none"/>
          <w:shd w:val="clear" w:fill="FFFFFF"/>
          <w:lang w:val="en-US" w:eastAsia="zh-CN"/>
        </w:rPr>
        <w:t>21</w:t>
      </w:r>
      <w:r>
        <w:rPr>
          <w:rFonts w:hint="default" w:ascii="Times New Roman" w:hAnsi="Times New Roman" w:eastAsia="宋体" w:cs="Times New Roman"/>
          <w:b/>
          <w:bCs/>
          <w:color w:val="auto"/>
          <w:sz w:val="24"/>
          <w:szCs w:val="24"/>
          <w:highlight w:val="none"/>
          <w:shd w:val="clear" w:fill="FFFFFF"/>
          <w:lang w:val="en-US" w:eastAsia="zh-CN"/>
        </w:rPr>
        <w:t>年</w:t>
      </w:r>
      <w:r>
        <w:rPr>
          <w:rFonts w:hint="eastAsia" w:eastAsia="宋体" w:cs="Times New Roman"/>
          <w:b/>
          <w:bCs/>
          <w:color w:val="auto"/>
          <w:sz w:val="24"/>
          <w:szCs w:val="24"/>
          <w:highlight w:val="none"/>
          <w:shd w:val="clear" w:fill="FFFFFF"/>
          <w:lang w:val="en-US" w:eastAsia="zh-CN"/>
        </w:rPr>
        <w:t>8</w:t>
      </w:r>
      <w:r>
        <w:rPr>
          <w:rFonts w:hint="default" w:ascii="Times New Roman" w:hAnsi="Times New Roman" w:eastAsia="宋体" w:cs="Times New Roman"/>
          <w:b/>
          <w:bCs/>
          <w:color w:val="auto"/>
          <w:sz w:val="24"/>
          <w:szCs w:val="24"/>
          <w:highlight w:val="none"/>
          <w:shd w:val="clear" w:fill="FFFFFF"/>
          <w:lang w:val="en-US" w:eastAsia="zh-CN"/>
        </w:rPr>
        <w:t>月</w:t>
      </w:r>
      <w:r>
        <w:rPr>
          <w:rFonts w:hint="eastAsia" w:eastAsia="宋体" w:cs="Times New Roman"/>
          <w:b/>
          <w:bCs/>
          <w:color w:val="auto"/>
          <w:sz w:val="24"/>
          <w:szCs w:val="24"/>
          <w:highlight w:val="none"/>
          <w:shd w:val="clear" w:fill="FFFFFF"/>
          <w:lang w:val="en-US" w:eastAsia="zh-CN"/>
        </w:rPr>
        <w:t>9</w:t>
      </w:r>
      <w:r>
        <w:rPr>
          <w:rFonts w:hint="default" w:ascii="Times New Roman" w:hAnsi="Times New Roman" w:eastAsia="宋体" w:cs="Times New Roman"/>
          <w:b/>
          <w:bCs/>
          <w:color w:val="auto"/>
          <w:sz w:val="24"/>
          <w:szCs w:val="24"/>
          <w:highlight w:val="none"/>
          <w:shd w:val="clear" w:fill="FFFFFF"/>
          <w:lang w:val="en-US" w:eastAsia="zh-CN"/>
        </w:rPr>
        <w:t>日《</w:t>
      </w:r>
      <w:r>
        <w:rPr>
          <w:rFonts w:hint="eastAsia" w:eastAsia="宋体" w:cs="Times New Roman"/>
          <w:b/>
          <w:bCs/>
          <w:color w:val="auto"/>
          <w:sz w:val="24"/>
          <w:szCs w:val="24"/>
          <w:highlight w:val="none"/>
          <w:shd w:val="clear" w:fill="FFFFFF"/>
          <w:lang w:val="en-US" w:eastAsia="zh-CN"/>
        </w:rPr>
        <w:t>辽沈晚报</w:t>
      </w:r>
      <w:r>
        <w:rPr>
          <w:rFonts w:hint="default" w:ascii="Times New Roman" w:hAnsi="Times New Roman" w:eastAsia="宋体" w:cs="Times New Roman"/>
          <w:b/>
          <w:bCs/>
          <w:color w:val="auto"/>
          <w:sz w:val="24"/>
          <w:szCs w:val="24"/>
          <w:highlight w:val="none"/>
          <w:shd w:val="clear" w:fill="FFFFFF"/>
          <w:lang w:val="en-US" w:eastAsia="zh-CN"/>
        </w:rPr>
        <w:t>》</w:t>
      </w:r>
      <w:r>
        <w:rPr>
          <w:rFonts w:hint="eastAsia" w:eastAsia="宋体" w:cs="Times New Roman"/>
          <w:b/>
          <w:bCs/>
          <w:color w:val="auto"/>
          <w:sz w:val="24"/>
          <w:szCs w:val="24"/>
          <w:highlight w:val="none"/>
          <w:shd w:val="clear" w:fill="FFFFFF"/>
          <w:lang w:val="en-US" w:eastAsia="zh-CN"/>
        </w:rPr>
        <w:t>公示内容</w:t>
      </w:r>
    </w:p>
    <w:p>
      <w:pPr>
        <w:pStyle w:val="4"/>
        <w:bidi w:val="0"/>
        <w:ind w:left="0" w:firstLine="271"/>
        <w:rPr>
          <w:rFonts w:hint="eastAsia" w:ascii="Times New Roman" w:hAnsi="Times New Roman"/>
          <w:color w:val="auto"/>
          <w:highlight w:val="none"/>
        </w:rPr>
      </w:pPr>
      <w:bookmarkStart w:id="25" w:name="_Toc18996"/>
      <w:bookmarkStart w:id="26" w:name="_Toc8631"/>
      <w:r>
        <w:rPr>
          <w:rFonts w:hint="eastAsia" w:ascii="Times New Roman" w:hAnsi="Times New Roman"/>
          <w:color w:val="auto"/>
          <w:highlight w:val="none"/>
        </w:rPr>
        <w:t>查阅情况</w:t>
      </w:r>
      <w:bookmarkEnd w:id="25"/>
      <w:bookmarkEnd w:id="26"/>
      <w:r>
        <w:rPr>
          <w:rFonts w:hint="eastAsia" w:ascii="Times New Roman" w:hAnsi="Times New Roman"/>
          <w:color w:val="auto"/>
          <w:highlight w:val="none"/>
        </w:rPr>
        <w:t xml:space="preserve"> </w:t>
      </w:r>
    </w:p>
    <w:p>
      <w:pPr>
        <w:ind w:firstLine="480"/>
        <w:rPr>
          <w:rFonts w:hint="eastAsia"/>
          <w:color w:val="auto"/>
          <w:sz w:val="24"/>
          <w:szCs w:val="24"/>
          <w:lang w:eastAsia="zh-CN"/>
        </w:rPr>
      </w:pPr>
      <w:r>
        <w:rPr>
          <w:rFonts w:hint="eastAsia"/>
          <w:color w:val="auto"/>
          <w:sz w:val="24"/>
          <w:szCs w:val="24"/>
          <w:lang w:eastAsia="zh-CN"/>
        </w:rPr>
        <w:t>本项目环评影响报告书征求意见稿信息公开期限（报纸公示、现场张贴）在20</w:t>
      </w:r>
      <w:r>
        <w:rPr>
          <w:rFonts w:hint="eastAsia"/>
          <w:color w:val="auto"/>
          <w:sz w:val="24"/>
          <w:szCs w:val="24"/>
          <w:lang w:val="en-US" w:eastAsia="zh-CN"/>
        </w:rPr>
        <w:t>21</w:t>
      </w:r>
      <w:r>
        <w:rPr>
          <w:rFonts w:hint="eastAsia"/>
          <w:color w:val="auto"/>
          <w:sz w:val="24"/>
          <w:szCs w:val="24"/>
          <w:lang w:eastAsia="zh-CN"/>
        </w:rPr>
        <w:t>年</w:t>
      </w:r>
      <w:r>
        <w:rPr>
          <w:rFonts w:hint="eastAsia"/>
          <w:color w:val="auto"/>
          <w:sz w:val="24"/>
          <w:szCs w:val="24"/>
          <w:lang w:val="en-US" w:eastAsia="zh-CN"/>
        </w:rPr>
        <w:t>8</w:t>
      </w:r>
      <w:r>
        <w:rPr>
          <w:rFonts w:hint="eastAsia"/>
          <w:color w:val="auto"/>
          <w:sz w:val="24"/>
          <w:szCs w:val="24"/>
          <w:lang w:eastAsia="zh-CN"/>
        </w:rPr>
        <w:t>月</w:t>
      </w:r>
      <w:r>
        <w:rPr>
          <w:rFonts w:hint="eastAsia"/>
          <w:color w:val="auto"/>
          <w:sz w:val="24"/>
          <w:szCs w:val="24"/>
          <w:lang w:val="en-US" w:eastAsia="zh-CN"/>
        </w:rPr>
        <w:t>4</w:t>
      </w:r>
      <w:r>
        <w:rPr>
          <w:rFonts w:hint="eastAsia"/>
          <w:color w:val="auto"/>
          <w:sz w:val="24"/>
          <w:szCs w:val="24"/>
          <w:lang w:eastAsia="zh-CN"/>
        </w:rPr>
        <w:t>日起至</w:t>
      </w:r>
      <w:r>
        <w:rPr>
          <w:rFonts w:hint="eastAsia"/>
          <w:color w:val="auto"/>
          <w:sz w:val="24"/>
          <w:szCs w:val="24"/>
          <w:lang w:val="en-US" w:eastAsia="zh-CN"/>
        </w:rPr>
        <w:t>8</w:t>
      </w:r>
      <w:r>
        <w:rPr>
          <w:rFonts w:hint="eastAsia"/>
          <w:color w:val="auto"/>
          <w:sz w:val="24"/>
          <w:szCs w:val="24"/>
          <w:lang w:eastAsia="zh-CN"/>
        </w:rPr>
        <w:t>月</w:t>
      </w:r>
      <w:r>
        <w:rPr>
          <w:rFonts w:hint="eastAsia"/>
          <w:color w:val="auto"/>
          <w:sz w:val="24"/>
          <w:szCs w:val="24"/>
          <w:lang w:val="en-US" w:eastAsia="zh-CN"/>
        </w:rPr>
        <w:t>11</w:t>
      </w:r>
      <w:r>
        <w:rPr>
          <w:rFonts w:hint="eastAsia"/>
          <w:color w:val="auto"/>
          <w:sz w:val="24"/>
          <w:szCs w:val="24"/>
          <w:lang w:eastAsia="zh-CN"/>
        </w:rPr>
        <w:t>日止，共计</w:t>
      </w:r>
      <w:r>
        <w:rPr>
          <w:rFonts w:hint="eastAsia"/>
          <w:color w:val="auto"/>
          <w:sz w:val="24"/>
          <w:szCs w:val="24"/>
          <w:lang w:val="en-US" w:eastAsia="zh-CN"/>
        </w:rPr>
        <w:t>5</w:t>
      </w:r>
      <w:r>
        <w:rPr>
          <w:rFonts w:hint="eastAsia"/>
          <w:color w:val="auto"/>
          <w:sz w:val="24"/>
          <w:szCs w:val="24"/>
          <w:lang w:eastAsia="zh-CN"/>
        </w:rPr>
        <w:t>个工作日；环评影响报告书征求意见稿信息公开期限（网站公示）在20</w:t>
      </w:r>
      <w:r>
        <w:rPr>
          <w:rFonts w:hint="eastAsia"/>
          <w:color w:val="auto"/>
          <w:sz w:val="24"/>
          <w:szCs w:val="24"/>
          <w:lang w:val="en-US" w:eastAsia="zh-CN"/>
        </w:rPr>
        <w:t>21</w:t>
      </w:r>
      <w:r>
        <w:rPr>
          <w:rFonts w:hint="eastAsia"/>
          <w:color w:val="auto"/>
          <w:sz w:val="24"/>
          <w:szCs w:val="24"/>
          <w:lang w:eastAsia="zh-CN"/>
        </w:rPr>
        <w:t>年</w:t>
      </w:r>
      <w:r>
        <w:rPr>
          <w:rFonts w:hint="eastAsia"/>
          <w:color w:val="auto"/>
          <w:sz w:val="24"/>
          <w:szCs w:val="24"/>
          <w:lang w:val="en-US" w:eastAsia="zh-CN"/>
        </w:rPr>
        <w:t>8</w:t>
      </w:r>
      <w:r>
        <w:rPr>
          <w:rFonts w:hint="eastAsia"/>
          <w:color w:val="auto"/>
          <w:sz w:val="24"/>
          <w:szCs w:val="24"/>
          <w:lang w:eastAsia="zh-CN"/>
        </w:rPr>
        <w:t>月</w:t>
      </w:r>
      <w:r>
        <w:rPr>
          <w:rFonts w:hint="eastAsia"/>
          <w:color w:val="auto"/>
          <w:sz w:val="24"/>
          <w:szCs w:val="24"/>
          <w:lang w:val="en-US" w:eastAsia="zh-CN"/>
        </w:rPr>
        <w:t>4</w:t>
      </w:r>
      <w:r>
        <w:rPr>
          <w:rFonts w:hint="eastAsia"/>
          <w:color w:val="auto"/>
          <w:sz w:val="24"/>
          <w:szCs w:val="24"/>
          <w:lang w:eastAsia="zh-CN"/>
        </w:rPr>
        <w:t>日起至</w:t>
      </w:r>
      <w:r>
        <w:rPr>
          <w:rFonts w:hint="eastAsia"/>
          <w:color w:val="auto"/>
          <w:sz w:val="24"/>
          <w:szCs w:val="24"/>
          <w:lang w:val="en-US" w:eastAsia="zh-CN"/>
        </w:rPr>
        <w:t>8</w:t>
      </w:r>
      <w:r>
        <w:rPr>
          <w:rFonts w:hint="eastAsia"/>
          <w:color w:val="auto"/>
          <w:sz w:val="24"/>
          <w:szCs w:val="24"/>
          <w:lang w:eastAsia="zh-CN"/>
        </w:rPr>
        <w:t>月</w:t>
      </w:r>
      <w:r>
        <w:rPr>
          <w:rFonts w:hint="eastAsia"/>
          <w:color w:val="auto"/>
          <w:sz w:val="24"/>
          <w:szCs w:val="24"/>
          <w:lang w:val="en-US" w:eastAsia="zh-CN"/>
        </w:rPr>
        <w:t>11</w:t>
      </w:r>
      <w:r>
        <w:rPr>
          <w:rFonts w:hint="eastAsia"/>
          <w:color w:val="auto"/>
          <w:sz w:val="24"/>
          <w:szCs w:val="24"/>
          <w:lang w:eastAsia="zh-CN"/>
        </w:rPr>
        <w:t>日止，共计</w:t>
      </w:r>
      <w:r>
        <w:rPr>
          <w:rFonts w:hint="eastAsia"/>
          <w:color w:val="auto"/>
          <w:sz w:val="24"/>
          <w:szCs w:val="24"/>
          <w:lang w:val="en-US" w:eastAsia="zh-CN"/>
        </w:rPr>
        <w:t>5</w:t>
      </w:r>
      <w:r>
        <w:rPr>
          <w:rFonts w:hint="eastAsia"/>
          <w:color w:val="auto"/>
          <w:sz w:val="24"/>
          <w:szCs w:val="24"/>
          <w:lang w:eastAsia="zh-CN"/>
        </w:rPr>
        <w:t>个工作日。公示期间</w:t>
      </w:r>
      <w:r>
        <w:rPr>
          <w:rFonts w:hint="eastAsia"/>
          <w:color w:val="auto"/>
          <w:sz w:val="24"/>
          <w:szCs w:val="24"/>
          <w:highlight w:val="none"/>
          <w:lang w:eastAsia="zh-CN"/>
        </w:rPr>
        <w:t>，网络公示平台环评报告书征求意见稿下载量为</w:t>
      </w:r>
      <w:r>
        <w:rPr>
          <w:rFonts w:hint="eastAsia"/>
          <w:color w:val="auto"/>
          <w:sz w:val="24"/>
          <w:szCs w:val="24"/>
          <w:highlight w:val="none"/>
          <w:lang w:val="en-US" w:eastAsia="zh-CN"/>
        </w:rPr>
        <w:t>3，公众参与调查表下载量为3</w:t>
      </w:r>
      <w:r>
        <w:rPr>
          <w:rFonts w:hint="eastAsia"/>
          <w:color w:val="auto"/>
          <w:sz w:val="24"/>
          <w:szCs w:val="24"/>
          <w:highlight w:val="none"/>
          <w:lang w:eastAsia="zh-CN"/>
        </w:rPr>
        <w:t>。公</w:t>
      </w:r>
      <w:r>
        <w:rPr>
          <w:rFonts w:hint="eastAsia"/>
          <w:color w:val="auto"/>
          <w:sz w:val="24"/>
          <w:szCs w:val="24"/>
          <w:lang w:eastAsia="zh-CN"/>
        </w:rPr>
        <w:t>示期间未接到公众要求查阅报告书的咨询电话，且未收到公众反馈意见。</w:t>
      </w:r>
    </w:p>
    <w:p>
      <w:pPr>
        <w:pStyle w:val="4"/>
        <w:bidi w:val="0"/>
        <w:ind w:left="0" w:firstLine="271"/>
        <w:rPr>
          <w:rFonts w:hint="eastAsia" w:ascii="Times New Roman" w:hAnsi="Times New Roman"/>
          <w:color w:val="auto"/>
          <w:highlight w:val="none"/>
        </w:rPr>
      </w:pPr>
      <w:bookmarkStart w:id="27" w:name="_Toc14342"/>
      <w:bookmarkStart w:id="28" w:name="_Toc31611"/>
      <w:r>
        <w:rPr>
          <w:rFonts w:hint="eastAsia" w:ascii="Times New Roman" w:hAnsi="Times New Roman"/>
          <w:color w:val="auto"/>
          <w:highlight w:val="none"/>
        </w:rPr>
        <w:t>公众提出意见情况</w:t>
      </w:r>
      <w:bookmarkEnd w:id="27"/>
      <w:bookmarkEnd w:id="28"/>
      <w:r>
        <w:rPr>
          <w:rFonts w:hint="eastAsia" w:ascii="Times New Roman" w:hAnsi="Times New Roman"/>
          <w:color w:val="auto"/>
          <w:highlight w:val="none"/>
        </w:rPr>
        <w:t xml:space="preserve"> </w:t>
      </w:r>
    </w:p>
    <w:p>
      <w:pPr>
        <w:ind w:firstLine="480"/>
        <w:rPr>
          <w:rFonts w:hint="eastAsia" w:eastAsiaTheme="minorEastAsia"/>
          <w:color w:val="auto"/>
          <w:sz w:val="24"/>
          <w:szCs w:val="24"/>
          <w:lang w:val="en-US" w:eastAsia="zh-CN"/>
        </w:rPr>
      </w:pPr>
      <w:r>
        <w:rPr>
          <w:rFonts w:hint="eastAsia"/>
          <w:color w:val="auto"/>
          <w:sz w:val="24"/>
          <w:szCs w:val="24"/>
          <w:lang w:eastAsia="zh-CN"/>
        </w:rPr>
        <w:t>征求意见稿网络公示及报纸公示期间，本项目建设单位、环境影响报告书编制位均未收到公众提出的意见。</w:t>
      </w:r>
    </w:p>
    <w:p>
      <w:pPr>
        <w:pStyle w:val="3"/>
        <w:numPr>
          <w:numId w:val="0"/>
        </w:numPr>
        <w:bidi w:val="0"/>
        <w:ind w:leftChars="0"/>
        <w:rPr>
          <w:rFonts w:hint="default"/>
          <w:color w:val="auto"/>
          <w:lang w:val="en-US" w:eastAsia="zh-CN"/>
        </w:rPr>
      </w:pPr>
      <w:bookmarkStart w:id="29" w:name="_Toc28412"/>
    </w:p>
    <w:p>
      <w:pPr>
        <w:rPr>
          <w:rFonts w:hint="default"/>
          <w:color w:val="auto"/>
          <w:lang w:val="en-US" w:eastAsia="zh-CN"/>
        </w:rPr>
      </w:pPr>
    </w:p>
    <w:p>
      <w:pPr>
        <w:pStyle w:val="2"/>
        <w:rPr>
          <w:rFonts w:hint="default"/>
          <w:color w:val="auto"/>
          <w:lang w:val="en-US" w:eastAsia="zh-CN"/>
        </w:rPr>
      </w:pPr>
    </w:p>
    <w:p>
      <w:pPr>
        <w:pStyle w:val="2"/>
        <w:rPr>
          <w:rFonts w:hint="default"/>
          <w:color w:val="auto"/>
          <w:lang w:val="en-US" w:eastAsia="zh-CN"/>
        </w:rPr>
      </w:pPr>
    </w:p>
    <w:p>
      <w:pPr>
        <w:pStyle w:val="2"/>
        <w:rPr>
          <w:rFonts w:hint="default"/>
          <w:color w:val="auto"/>
          <w:lang w:val="en-US" w:eastAsia="zh-CN"/>
        </w:rPr>
      </w:pPr>
    </w:p>
    <w:p>
      <w:pPr>
        <w:pStyle w:val="2"/>
        <w:rPr>
          <w:rFonts w:hint="default"/>
          <w:color w:val="auto"/>
          <w:lang w:val="en-US" w:eastAsia="zh-CN"/>
        </w:rPr>
      </w:pPr>
    </w:p>
    <w:p>
      <w:pPr>
        <w:pStyle w:val="2"/>
        <w:rPr>
          <w:rFonts w:hint="default"/>
          <w:color w:val="auto"/>
          <w:lang w:val="en-US" w:eastAsia="zh-CN"/>
        </w:rPr>
      </w:pPr>
    </w:p>
    <w:p>
      <w:pPr>
        <w:pStyle w:val="2"/>
        <w:rPr>
          <w:rFonts w:hint="default"/>
          <w:color w:val="auto"/>
          <w:lang w:val="en-US" w:eastAsia="zh-CN"/>
        </w:rPr>
      </w:pPr>
    </w:p>
    <w:p>
      <w:pPr>
        <w:pStyle w:val="2"/>
        <w:rPr>
          <w:rFonts w:hint="default"/>
          <w:color w:val="auto"/>
          <w:lang w:val="en-US" w:eastAsia="zh-CN"/>
        </w:rPr>
      </w:pPr>
    </w:p>
    <w:p>
      <w:pPr>
        <w:pStyle w:val="2"/>
        <w:rPr>
          <w:rFonts w:hint="default"/>
          <w:color w:val="auto"/>
          <w:lang w:val="en-US" w:eastAsia="zh-CN"/>
        </w:rPr>
      </w:pPr>
    </w:p>
    <w:p>
      <w:pPr>
        <w:pStyle w:val="2"/>
        <w:rPr>
          <w:rFonts w:hint="default"/>
          <w:color w:val="auto"/>
          <w:lang w:val="en-US" w:eastAsia="zh-CN"/>
        </w:rPr>
      </w:pPr>
    </w:p>
    <w:p>
      <w:pPr>
        <w:pStyle w:val="3"/>
        <w:bidi w:val="0"/>
        <w:rPr>
          <w:rFonts w:hint="default"/>
          <w:color w:val="auto"/>
          <w:lang w:val="en-US" w:eastAsia="zh-CN"/>
        </w:rPr>
      </w:pPr>
      <w:bookmarkStart w:id="30" w:name="_Toc2620"/>
      <w:r>
        <w:rPr>
          <w:rFonts w:hint="default"/>
          <w:color w:val="auto"/>
          <w:lang w:val="en-US" w:eastAsia="zh-CN"/>
        </w:rPr>
        <w:t>报批前公开情况</w:t>
      </w:r>
      <w:bookmarkEnd w:id="30"/>
      <w:r>
        <w:rPr>
          <w:rFonts w:hint="default"/>
          <w:color w:val="auto"/>
          <w:lang w:val="en-US" w:eastAsia="zh-CN"/>
        </w:rPr>
        <w:t xml:space="preserve"> </w:t>
      </w:r>
    </w:p>
    <w:p>
      <w:pPr>
        <w:pStyle w:val="4"/>
        <w:bidi w:val="0"/>
        <w:rPr>
          <w:rFonts w:hint="default"/>
          <w:color w:val="auto"/>
          <w:lang w:eastAsia="zh-CN"/>
        </w:rPr>
      </w:pPr>
      <w:bookmarkStart w:id="31" w:name="_Toc12939"/>
      <w:bookmarkStart w:id="32" w:name="_Toc30209"/>
      <w:r>
        <w:rPr>
          <w:rFonts w:hint="default"/>
          <w:color w:val="auto"/>
          <w:lang w:eastAsia="zh-CN"/>
        </w:rPr>
        <w:t>公开内容及日期</w:t>
      </w:r>
      <w:bookmarkEnd w:id="31"/>
      <w:bookmarkEnd w:id="32"/>
      <w:r>
        <w:rPr>
          <w:rFonts w:hint="default"/>
          <w:color w:val="auto"/>
          <w:lang w:eastAsia="zh-CN"/>
        </w:rPr>
        <w:t xml:space="preserve"> </w:t>
      </w:r>
    </w:p>
    <w:p>
      <w:pPr>
        <w:spacing w:line="360" w:lineRule="auto"/>
        <w:ind w:right="-40" w:firstLine="482" w:firstLineChars="200"/>
        <w:rPr>
          <w:rFonts w:hint="eastAsia"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rPr>
        <w:t>①第三次（报批前）公示要求</w:t>
      </w:r>
    </w:p>
    <w:p>
      <w:pPr>
        <w:spacing w:line="360" w:lineRule="auto"/>
        <w:ind w:right="-40" w:firstLine="480" w:firstLineChars="200"/>
        <w:rPr>
          <w:rFonts w:hint="eastAsia"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建设单位向生态环境主管部门报批环境影响报告书前，应当组织编写建设项目环境影响评价公众参与说明。公众参与说明应当包括下列主要内容：</w:t>
      </w:r>
    </w:p>
    <w:p>
      <w:pPr>
        <w:keepNext w:val="0"/>
        <w:keepLines w:val="0"/>
        <w:pageBreakBefore w:val="0"/>
        <w:widowControl w:val="0"/>
        <w:kinsoku/>
        <w:wordWrap/>
        <w:overflowPunct/>
        <w:topLinePunct w:val="0"/>
        <w:autoSpaceDE/>
        <w:autoSpaceDN/>
        <w:bidi w:val="0"/>
        <w:spacing w:line="360" w:lineRule="auto"/>
        <w:ind w:right="0" w:firstLine="480" w:firstLineChars="200"/>
        <w:textAlignment w:val="auto"/>
        <w:rPr>
          <w:rFonts w:hint="eastAsia"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（一）公众参与的过程、范围和内容；</w:t>
      </w:r>
    </w:p>
    <w:p>
      <w:pPr>
        <w:keepNext w:val="0"/>
        <w:keepLines w:val="0"/>
        <w:pageBreakBefore w:val="0"/>
        <w:widowControl w:val="0"/>
        <w:kinsoku/>
        <w:wordWrap/>
        <w:overflowPunct/>
        <w:topLinePunct w:val="0"/>
        <w:autoSpaceDE/>
        <w:autoSpaceDN/>
        <w:bidi w:val="0"/>
        <w:spacing w:line="360" w:lineRule="auto"/>
        <w:ind w:right="0" w:firstLine="480" w:firstLineChars="200"/>
        <w:textAlignment w:val="auto"/>
        <w:rPr>
          <w:rFonts w:hint="eastAsia"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（二）公众意见收集整理和归纳分析情况；</w:t>
      </w:r>
    </w:p>
    <w:p>
      <w:pPr>
        <w:keepNext w:val="0"/>
        <w:keepLines w:val="0"/>
        <w:pageBreakBefore w:val="0"/>
        <w:widowControl w:val="0"/>
        <w:kinsoku/>
        <w:wordWrap/>
        <w:overflowPunct/>
        <w:topLinePunct w:val="0"/>
        <w:autoSpaceDE/>
        <w:autoSpaceDN/>
        <w:bidi w:val="0"/>
        <w:spacing w:line="360" w:lineRule="auto"/>
        <w:ind w:right="0" w:firstLine="480" w:firstLineChars="200"/>
        <w:textAlignment w:val="auto"/>
        <w:rPr>
          <w:rFonts w:hint="eastAsia"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（三）公众意见采纳情况，或者未采纳情况、理由及向公众反馈的情况等。</w:t>
      </w:r>
    </w:p>
    <w:p>
      <w:pPr>
        <w:pStyle w:val="41"/>
        <w:keepNext w:val="0"/>
        <w:keepLines w:val="0"/>
        <w:pageBreakBefore w:val="0"/>
        <w:widowControl w:val="0"/>
        <w:kinsoku/>
        <w:wordWrap/>
        <w:overflowPunct/>
        <w:topLinePunct w:val="0"/>
        <w:autoSpaceDE/>
        <w:autoSpaceDN/>
        <w:bidi w:val="0"/>
        <w:adjustRightInd w:val="0"/>
        <w:snapToGrid w:val="0"/>
        <w:spacing w:line="360" w:lineRule="auto"/>
        <w:ind w:right="0" w:firstLine="482" w:firstLineChars="200"/>
        <w:jc w:val="both"/>
        <w:textAlignment w:val="auto"/>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②第三次（报批前）公示内容</w:t>
      </w:r>
    </w:p>
    <w:p>
      <w:pPr>
        <w:pStyle w:val="20"/>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color w:val="auto"/>
          <w:kern w:val="0"/>
          <w:sz w:val="24"/>
          <w:szCs w:val="20"/>
          <w:highlight w:val="green"/>
          <w:lang w:val="en-US" w:eastAsia="zh-CN"/>
        </w:rPr>
      </w:pPr>
    </w:p>
    <w:p>
      <w:pPr>
        <w:pStyle w:val="20"/>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color w:val="auto"/>
          <w:kern w:val="0"/>
          <w:sz w:val="24"/>
          <w:szCs w:val="20"/>
          <w:highlight w:val="green"/>
        </w:rPr>
      </w:pPr>
      <w:r>
        <w:rPr>
          <w:rFonts w:hint="eastAsia" w:ascii="Times New Roman" w:hAnsi="Times New Roman" w:eastAsia="宋体" w:cs="Times New Roman"/>
          <w:b/>
          <w:color w:val="auto"/>
          <w:kern w:val="0"/>
          <w:sz w:val="24"/>
          <w:szCs w:val="20"/>
          <w:highlight w:val="green"/>
          <w:lang w:val="en-US" w:eastAsia="zh-CN"/>
        </w:rPr>
        <w:t>图</w:t>
      </w:r>
      <w:r>
        <w:rPr>
          <w:rFonts w:hint="eastAsia" w:eastAsia="宋体" w:cs="Times New Roman"/>
          <w:b/>
          <w:color w:val="auto"/>
          <w:kern w:val="0"/>
          <w:sz w:val="24"/>
          <w:szCs w:val="20"/>
          <w:highlight w:val="green"/>
          <w:lang w:val="en-US" w:eastAsia="zh-CN"/>
        </w:rPr>
        <w:t>4</w:t>
      </w:r>
      <w:r>
        <w:rPr>
          <w:rFonts w:hint="eastAsia" w:ascii="Times New Roman" w:hAnsi="Times New Roman" w:eastAsia="宋体" w:cs="Times New Roman"/>
          <w:b/>
          <w:color w:val="auto"/>
          <w:kern w:val="0"/>
          <w:sz w:val="24"/>
          <w:szCs w:val="20"/>
          <w:highlight w:val="green"/>
          <w:lang w:val="en-US" w:eastAsia="zh-CN"/>
        </w:rPr>
        <w:t>-1 第三次网络公示</w:t>
      </w:r>
      <w:r>
        <w:rPr>
          <w:rFonts w:hint="eastAsia" w:ascii="Times New Roman" w:hAnsi="Times New Roman" w:eastAsia="宋体" w:cs="Times New Roman"/>
          <w:b/>
          <w:color w:val="auto"/>
          <w:kern w:val="0"/>
          <w:sz w:val="24"/>
          <w:szCs w:val="20"/>
          <w:highlight w:val="green"/>
        </w:rPr>
        <w:t>环境影响评价信息公开情况</w:t>
      </w:r>
      <w:r>
        <w:rPr>
          <w:rFonts w:ascii="Times New Roman" w:hAnsi="Times New Roman" w:eastAsia="宋体" w:cs="Times New Roman"/>
          <w:b/>
          <w:color w:val="auto"/>
          <w:kern w:val="0"/>
          <w:sz w:val="24"/>
          <w:szCs w:val="20"/>
          <w:highlight w:val="green"/>
        </w:rPr>
        <w:t>截图</w:t>
      </w:r>
    </w:p>
    <w:p>
      <w:pPr>
        <w:pStyle w:val="4"/>
        <w:bidi w:val="0"/>
        <w:rPr>
          <w:rFonts w:hint="default"/>
          <w:color w:val="auto"/>
          <w:lang w:eastAsia="zh-CN"/>
        </w:rPr>
      </w:pPr>
      <w:bookmarkStart w:id="33" w:name="_Toc26120"/>
      <w:r>
        <w:rPr>
          <w:rFonts w:hint="default"/>
          <w:color w:val="auto"/>
          <w:lang w:eastAsia="zh-CN"/>
        </w:rPr>
        <w:t>公开方式</w:t>
      </w:r>
      <w:bookmarkEnd w:id="33"/>
      <w:r>
        <w:rPr>
          <w:rFonts w:hint="default"/>
          <w:color w:val="auto"/>
          <w:lang w:eastAsia="zh-CN"/>
        </w:rPr>
        <w:t xml:space="preserve"> </w:t>
      </w:r>
    </w:p>
    <w:p>
      <w:pPr>
        <w:pStyle w:val="5"/>
        <w:keepNext/>
        <w:keepLines/>
        <w:pageBreakBefore w:val="0"/>
        <w:widowControl w:val="0"/>
        <w:kinsoku/>
        <w:wordWrap/>
        <w:overflowPunct/>
        <w:topLinePunct w:val="0"/>
        <w:autoSpaceDE/>
        <w:autoSpaceDN/>
        <w:bidi w:val="0"/>
        <w:adjustRightInd/>
        <w:snapToGrid/>
        <w:ind w:left="240" w:leftChars="100"/>
        <w:jc w:val="left"/>
        <w:textAlignment w:val="auto"/>
        <w:rPr>
          <w:rFonts w:hint="default"/>
          <w:b/>
          <w:bCs/>
          <w:color w:val="auto"/>
          <w:highlight w:val="none"/>
        </w:rPr>
      </w:pPr>
      <w:r>
        <w:rPr>
          <w:rFonts w:hint="default"/>
          <w:b/>
          <w:bCs/>
          <w:color w:val="auto"/>
          <w:highlight w:val="none"/>
        </w:rPr>
        <w:t>网络</w:t>
      </w:r>
      <w:r>
        <w:rPr>
          <w:rFonts w:hint="eastAsia"/>
          <w:b/>
          <w:bCs/>
          <w:color w:val="auto"/>
          <w:highlight w:val="none"/>
          <w:lang w:val="en-US" w:eastAsia="zh-CN"/>
        </w:rPr>
        <w:t>公示</w:t>
      </w:r>
    </w:p>
    <w:p>
      <w:pPr>
        <w:spacing w:line="360" w:lineRule="auto"/>
        <w:ind w:left="240" w:leftChars="100" w:firstLine="480" w:firstLineChars="200"/>
        <w:rPr>
          <w:rFonts w:hint="eastAsia" w:ascii="Times New Roman" w:hAnsi="Times New Roman" w:eastAsia="宋体" w:cs="Times New Roman"/>
          <w:color w:val="auto"/>
          <w:kern w:val="0"/>
          <w:sz w:val="24"/>
          <w:szCs w:val="24"/>
          <w:highlight w:val="none"/>
        </w:rPr>
      </w:pPr>
      <w:r>
        <w:rPr>
          <w:rFonts w:hint="eastAsia"/>
          <w:color w:val="auto"/>
          <w:highlight w:val="none"/>
          <w:lang w:val="en-US" w:eastAsia="zh-CN"/>
        </w:rPr>
        <w:t>葫芦岛天启晟业化工有限公司官方网站</w:t>
      </w:r>
      <w:r>
        <w:rPr>
          <w:rFonts w:hint="eastAsia" w:ascii="Times New Roman" w:hAnsi="Times New Roman" w:eastAsia="宋体" w:cs="Times New Roman"/>
          <w:color w:val="auto"/>
          <w:kern w:val="0"/>
          <w:sz w:val="24"/>
          <w:szCs w:val="24"/>
          <w:highlight w:val="none"/>
          <w:lang w:val="en-US" w:eastAsia="zh-CN"/>
        </w:rPr>
        <w:t>属于</w:t>
      </w:r>
      <w:r>
        <w:rPr>
          <w:rFonts w:hint="eastAsia" w:eastAsia="宋体" w:cs="Times New Roman"/>
          <w:color w:val="auto"/>
          <w:kern w:val="0"/>
          <w:sz w:val="24"/>
          <w:szCs w:val="24"/>
          <w:highlight w:val="none"/>
          <w:lang w:val="en-US" w:eastAsia="zh-CN"/>
        </w:rPr>
        <w:t>葫芦岛</w:t>
      </w:r>
      <w:r>
        <w:rPr>
          <w:rFonts w:hint="eastAsia" w:ascii="Times New Roman" w:hAnsi="Times New Roman" w:eastAsia="宋体" w:cs="Times New Roman"/>
          <w:color w:val="auto"/>
          <w:kern w:val="0"/>
          <w:sz w:val="24"/>
          <w:szCs w:val="24"/>
          <w:highlight w:val="none"/>
          <w:lang w:val="en-US" w:eastAsia="zh-CN"/>
        </w:rPr>
        <w:t>本地网站</w:t>
      </w:r>
      <w:r>
        <w:rPr>
          <w:rFonts w:ascii="Times New Roman" w:hAnsi="Times New Roman" w:eastAsia="宋体" w:cs="Times New Roman"/>
          <w:color w:val="auto"/>
          <w:kern w:val="0"/>
          <w:sz w:val="24"/>
          <w:szCs w:val="24"/>
          <w:highlight w:val="none"/>
        </w:rPr>
        <w:t>。本项目于</w:t>
      </w:r>
      <w:r>
        <w:rPr>
          <w:rFonts w:hint="eastAsia" w:ascii="Times New Roman" w:hAnsi="Times New Roman" w:eastAsia="宋体" w:cs="Times New Roman"/>
          <w:color w:val="auto"/>
          <w:kern w:val="0"/>
          <w:sz w:val="24"/>
          <w:szCs w:val="24"/>
          <w:highlight w:val="none"/>
          <w:lang w:val="en-US" w:eastAsia="zh-CN"/>
        </w:rPr>
        <w:t>2023</w:t>
      </w:r>
      <w:r>
        <w:rPr>
          <w:rFonts w:ascii="Times New Roman" w:hAnsi="Times New Roman" w:eastAsia="宋体" w:cs="Times New Roman"/>
          <w:color w:val="auto"/>
          <w:kern w:val="0"/>
          <w:sz w:val="24"/>
          <w:szCs w:val="24"/>
          <w:highlight w:val="none"/>
        </w:rPr>
        <w:t>年</w:t>
      </w:r>
      <w:r>
        <w:rPr>
          <w:rFonts w:hint="eastAsia" w:eastAsia="宋体" w:cs="Times New Roman"/>
          <w:color w:val="auto"/>
          <w:kern w:val="0"/>
          <w:sz w:val="24"/>
          <w:szCs w:val="24"/>
          <w:highlight w:val="none"/>
          <w:lang w:val="en-US" w:eastAsia="zh-CN"/>
        </w:rPr>
        <w:t>4</w:t>
      </w:r>
      <w:r>
        <w:rPr>
          <w:rFonts w:ascii="Times New Roman" w:hAnsi="Times New Roman" w:eastAsia="宋体" w:cs="Times New Roman"/>
          <w:color w:val="auto"/>
          <w:kern w:val="0"/>
          <w:sz w:val="24"/>
          <w:szCs w:val="24"/>
          <w:highlight w:val="none"/>
        </w:rPr>
        <w:t>月</w:t>
      </w:r>
      <w:r>
        <w:rPr>
          <w:rFonts w:hint="eastAsia" w:ascii="Times New Roman" w:hAnsi="Times New Roman" w:eastAsia="宋体" w:cs="Times New Roman"/>
          <w:color w:val="auto"/>
          <w:kern w:val="0"/>
          <w:sz w:val="24"/>
          <w:szCs w:val="24"/>
          <w:highlight w:val="none"/>
          <w:lang w:val="en-US" w:eastAsia="zh-CN"/>
        </w:rPr>
        <w:t>1</w:t>
      </w:r>
      <w:r>
        <w:rPr>
          <w:rFonts w:hint="eastAsia" w:eastAsia="宋体" w:cs="Times New Roman"/>
          <w:color w:val="auto"/>
          <w:kern w:val="0"/>
          <w:sz w:val="24"/>
          <w:szCs w:val="24"/>
          <w:highlight w:val="none"/>
          <w:lang w:val="en-US" w:eastAsia="zh-CN"/>
        </w:rPr>
        <w:t>4</w:t>
      </w:r>
      <w:r>
        <w:rPr>
          <w:rFonts w:ascii="Times New Roman" w:hAnsi="Times New Roman" w:eastAsia="宋体" w:cs="Times New Roman"/>
          <w:color w:val="auto"/>
          <w:kern w:val="0"/>
          <w:sz w:val="24"/>
          <w:szCs w:val="24"/>
          <w:highlight w:val="none"/>
        </w:rPr>
        <w:t>日在</w:t>
      </w:r>
      <w:r>
        <w:rPr>
          <w:rFonts w:hint="eastAsia" w:eastAsia="宋体" w:cs="Times New Roman"/>
          <w:color w:val="auto"/>
          <w:kern w:val="0"/>
          <w:sz w:val="24"/>
          <w:szCs w:val="24"/>
          <w:highlight w:val="none"/>
          <w:lang w:eastAsia="zh-CN"/>
        </w:rPr>
        <w:t>葫芦岛天启晟业化工有限公司</w:t>
      </w:r>
      <w:r>
        <w:rPr>
          <w:rFonts w:hint="eastAsia" w:ascii="Times New Roman" w:hAnsi="Times New Roman" w:eastAsia="宋体" w:cs="Times New Roman"/>
          <w:color w:val="auto"/>
          <w:kern w:val="0"/>
          <w:sz w:val="24"/>
          <w:szCs w:val="24"/>
          <w:highlight w:val="none"/>
          <w:lang w:eastAsia="zh-CN"/>
        </w:rPr>
        <w:t>官网</w:t>
      </w:r>
      <w:r>
        <w:rPr>
          <w:rFonts w:ascii="Times New Roman" w:hAnsi="Times New Roman" w:eastAsia="宋体" w:cs="Times New Roman"/>
          <w:color w:val="auto"/>
          <w:kern w:val="0"/>
          <w:sz w:val="24"/>
          <w:szCs w:val="24"/>
          <w:highlight w:val="none"/>
        </w:rPr>
        <w:t>进行</w:t>
      </w:r>
      <w:r>
        <w:rPr>
          <w:rFonts w:hint="eastAsia" w:ascii="Times New Roman" w:hAnsi="Times New Roman" w:eastAsia="宋体" w:cs="Times New Roman"/>
          <w:color w:val="auto"/>
          <w:kern w:val="0"/>
          <w:sz w:val="24"/>
          <w:szCs w:val="24"/>
          <w:highlight w:val="none"/>
          <w:lang w:eastAsia="zh-CN"/>
        </w:rPr>
        <w:t>报批稿的</w:t>
      </w:r>
      <w:r>
        <w:rPr>
          <w:rFonts w:ascii="Times New Roman" w:hAnsi="Times New Roman" w:eastAsia="宋体" w:cs="Times New Roman"/>
          <w:color w:val="auto"/>
          <w:kern w:val="0"/>
          <w:sz w:val="24"/>
          <w:szCs w:val="24"/>
          <w:highlight w:val="none"/>
        </w:rPr>
        <w:t>网络公示</w:t>
      </w:r>
      <w:r>
        <w:rPr>
          <w:rFonts w:hint="eastAsia" w:ascii="Times New Roman" w:hAnsi="Times New Roman" w:eastAsia="宋体" w:cs="Times New Roman"/>
          <w:color w:val="auto"/>
          <w:kern w:val="0"/>
          <w:sz w:val="24"/>
          <w:szCs w:val="24"/>
          <w:highlight w:val="none"/>
        </w:rPr>
        <w:t>。</w:t>
      </w:r>
    </w:p>
    <w:p>
      <w:pPr>
        <w:spacing w:line="360" w:lineRule="auto"/>
        <w:ind w:left="240" w:leftChars="100" w:firstLine="480" w:firstLineChars="200"/>
        <w:rPr>
          <w:rFonts w:hint="default" w:ascii="Times New Roman" w:hAnsi="Times New Roman" w:eastAsia="宋体" w:cs="Times New Roman"/>
          <w:color w:val="auto"/>
          <w:sz w:val="24"/>
          <w:szCs w:val="24"/>
          <w:highlight w:val="none"/>
          <w:lang w:val="en-US" w:eastAsia="zh-CN"/>
        </w:rPr>
      </w:pPr>
      <w:r>
        <w:rPr>
          <w:rFonts w:ascii="Times New Roman" w:hAnsi="Times New Roman" w:eastAsia="宋体" w:cs="Times New Roman"/>
          <w:color w:val="auto"/>
          <w:kern w:val="0"/>
          <w:sz w:val="24"/>
          <w:szCs w:val="24"/>
          <w:highlight w:val="none"/>
        </w:rPr>
        <w:t>公示时间：</w:t>
      </w:r>
      <w:r>
        <w:rPr>
          <w:rFonts w:hint="eastAsia" w:ascii="Times New Roman" w:hAnsi="Times New Roman" w:eastAsia="宋体" w:cs="Times New Roman"/>
          <w:color w:val="auto"/>
          <w:kern w:val="0"/>
          <w:sz w:val="24"/>
          <w:szCs w:val="24"/>
          <w:highlight w:val="none"/>
          <w:lang w:val="en-US" w:eastAsia="zh-CN"/>
        </w:rPr>
        <w:t>2023</w:t>
      </w:r>
      <w:r>
        <w:rPr>
          <w:rFonts w:hint="default" w:ascii="Times New Roman" w:hAnsi="Times New Roman" w:eastAsia="宋体" w:cs="Times New Roman"/>
          <w:color w:val="auto"/>
          <w:sz w:val="24"/>
          <w:szCs w:val="24"/>
          <w:highlight w:val="none"/>
          <w:lang w:val="en-US" w:eastAsia="zh-CN"/>
        </w:rPr>
        <w:t>年</w:t>
      </w:r>
      <w:r>
        <w:rPr>
          <w:rFonts w:hint="eastAsia"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eastAsia="宋体" w:cs="Times New Roman"/>
          <w:color w:val="auto"/>
          <w:sz w:val="24"/>
          <w:szCs w:val="24"/>
          <w:highlight w:val="none"/>
          <w:lang w:val="en-US" w:eastAsia="zh-CN"/>
        </w:rPr>
        <w:t>1</w:t>
      </w:r>
      <w:r>
        <w:rPr>
          <w:rFonts w:hint="eastAsia"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日</w:t>
      </w:r>
    </w:p>
    <w:p>
      <w:pPr>
        <w:spacing w:line="360" w:lineRule="auto"/>
        <w:ind w:left="240" w:leftChars="100" w:firstLine="480" w:firstLineChars="200"/>
        <w:rPr>
          <w:rFonts w:hint="eastAsia" w:ascii="Times New Roman" w:hAnsi="Times New Roman" w:cs="Times New Roman"/>
          <w:color w:val="auto"/>
          <w:sz w:val="24"/>
          <w:szCs w:val="24"/>
          <w:highlight w:val="none"/>
          <w:u w:val="none"/>
          <w:lang w:eastAsia="zh-CN"/>
        </w:rPr>
      </w:pPr>
      <w:r>
        <w:rPr>
          <w:rFonts w:ascii="Times New Roman" w:hAnsi="Times New Roman" w:eastAsia="宋体" w:cs="Times New Roman"/>
          <w:color w:val="auto"/>
          <w:kern w:val="0"/>
          <w:sz w:val="24"/>
          <w:szCs w:val="24"/>
          <w:highlight w:val="none"/>
        </w:rPr>
        <w:t>公示网址：</w:t>
      </w:r>
      <w:r>
        <w:rPr>
          <w:rFonts w:hint="eastAsia" w:ascii="Times New Roman" w:hAnsi="Times New Roman" w:cs="Times New Roman"/>
          <w:color w:val="auto"/>
          <w:sz w:val="24"/>
          <w:szCs w:val="24"/>
          <w:highlight w:val="none"/>
          <w:u w:val="none"/>
          <w:lang w:eastAsia="zh-CN"/>
        </w:rPr>
        <w:t>http://www.cntqchem.com/</w:t>
      </w:r>
    </w:p>
    <w:p>
      <w:pPr>
        <w:pStyle w:val="5"/>
        <w:keepNext/>
        <w:keepLines/>
        <w:pageBreakBefore w:val="0"/>
        <w:widowControl w:val="0"/>
        <w:kinsoku/>
        <w:wordWrap/>
        <w:overflowPunct/>
        <w:topLinePunct w:val="0"/>
        <w:autoSpaceDE/>
        <w:autoSpaceDN/>
        <w:bidi w:val="0"/>
        <w:adjustRightInd/>
        <w:snapToGrid/>
        <w:ind w:left="240" w:leftChars="100"/>
        <w:jc w:val="left"/>
        <w:textAlignment w:val="auto"/>
        <w:rPr>
          <w:rFonts w:hint="default"/>
          <w:b/>
          <w:bCs/>
          <w:color w:val="auto"/>
          <w:highlight w:val="none"/>
        </w:rPr>
      </w:pPr>
      <w:r>
        <w:rPr>
          <w:rFonts w:hint="default"/>
          <w:b/>
          <w:bCs/>
          <w:color w:val="auto"/>
          <w:highlight w:val="none"/>
        </w:rPr>
        <w:t xml:space="preserve">其他 </w:t>
      </w:r>
    </w:p>
    <w:p>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shd w:val="clear" w:color="auto" w:fill="FFFFFF"/>
          <w:lang w:val="en-US" w:eastAsia="zh-CN"/>
        </w:rPr>
        <w:t>未采用其他公示方式</w:t>
      </w:r>
      <w:r>
        <w:rPr>
          <w:rFonts w:hint="default" w:ascii="Times New Roman" w:hAnsi="Times New Roman" w:eastAsia="宋体" w:cs="Times New Roman"/>
          <w:color w:val="auto"/>
          <w:sz w:val="24"/>
          <w:szCs w:val="24"/>
          <w:highlight w:val="none"/>
          <w:shd w:val="clear" w:color="auto" w:fill="FFFFFF"/>
        </w:rPr>
        <w:t>。</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3"/>
        <w:numPr>
          <w:numId w:val="0"/>
        </w:numPr>
        <w:bidi w:val="0"/>
        <w:ind w:leftChars="0"/>
        <w:rPr>
          <w:rFonts w:hint="eastAsia"/>
          <w:color w:val="auto"/>
          <w:highlight w:val="none"/>
        </w:rPr>
      </w:pPr>
      <w:bookmarkStart w:id="34" w:name="_Toc18845"/>
      <w:r>
        <w:rPr>
          <w:rFonts w:hint="eastAsia"/>
          <w:color w:val="auto"/>
          <w:highlight w:val="none"/>
          <w:lang w:val="en-US" w:eastAsia="zh-CN"/>
        </w:rPr>
        <w:t>5</w:t>
      </w:r>
      <w:r>
        <w:rPr>
          <w:rFonts w:hint="eastAsia"/>
          <w:color w:val="auto"/>
          <w:highlight w:val="none"/>
        </w:rPr>
        <w:t>诚信承诺</w:t>
      </w:r>
      <w:bookmarkEnd w:id="29"/>
      <w:bookmarkEnd w:id="34"/>
      <w:r>
        <w:rPr>
          <w:rFonts w:hint="eastAsia"/>
          <w:color w:val="auto"/>
          <w:highlight w:val="none"/>
        </w:rPr>
        <w:t xml:space="preserve"> </w:t>
      </w:r>
    </w:p>
    <w:p>
      <w:pPr>
        <w:ind w:firstLine="480"/>
        <w:rPr>
          <w:rFonts w:hint="eastAsia"/>
          <w:color w:val="auto"/>
          <w:sz w:val="24"/>
          <w:szCs w:val="24"/>
          <w:highlight w:val="none"/>
          <w:lang w:eastAsia="zh-CN"/>
        </w:rPr>
      </w:pPr>
      <w:r>
        <w:rPr>
          <w:rFonts w:hint="eastAsia"/>
          <w:color w:val="auto"/>
          <w:sz w:val="24"/>
          <w:szCs w:val="24"/>
          <w:highlight w:val="none"/>
          <w:lang w:eastAsia="zh-CN"/>
        </w:rPr>
        <w:t>我单位已按照《办法》要求，在</w:t>
      </w:r>
      <w:r>
        <w:rPr>
          <w:rFonts w:hint="eastAsia" w:ascii="Times New Roman" w:hAnsi="Times New Roman"/>
          <w:color w:val="auto"/>
          <w:sz w:val="24"/>
          <w:szCs w:val="24"/>
          <w:highlight w:val="none"/>
          <w:lang w:eastAsia="zh-CN"/>
        </w:rPr>
        <w:t>利用年产1000吨1-（4-氯苯基）-3-吡唑醇生产装置改造生产（取代）苯基单异氰酸酯系列产品及甲基丙烯酸缩水甘油酯（GMA）产品项目</w:t>
      </w:r>
      <w:r>
        <w:rPr>
          <w:rFonts w:hint="eastAsia"/>
          <w:color w:val="auto"/>
          <w:sz w:val="24"/>
          <w:szCs w:val="24"/>
          <w:highlight w:val="none"/>
          <w:lang w:eastAsia="zh-CN"/>
        </w:rPr>
        <w:t>环境影响报告书编制阶段开展了公众参与工作，并按照要求编制了公众参与说明。</w:t>
      </w:r>
    </w:p>
    <w:p>
      <w:pPr>
        <w:ind w:firstLine="480"/>
        <w:rPr>
          <w:rFonts w:hint="eastAsia"/>
          <w:color w:val="0070C0"/>
          <w:sz w:val="24"/>
          <w:szCs w:val="24"/>
          <w:highlight w:val="none"/>
          <w:lang w:eastAsia="zh-CN"/>
        </w:rPr>
      </w:pPr>
      <w:r>
        <w:rPr>
          <w:rFonts w:hint="eastAsia"/>
          <w:color w:val="auto"/>
          <w:sz w:val="24"/>
          <w:szCs w:val="24"/>
          <w:highlight w:val="none"/>
          <w:lang w:eastAsia="zh-CN"/>
        </w:rPr>
        <w:t>我单位承诺，本次提交的《</w:t>
      </w:r>
      <w:r>
        <w:rPr>
          <w:rFonts w:hint="eastAsia" w:ascii="Times New Roman" w:hAnsi="Times New Roman"/>
          <w:color w:val="auto"/>
          <w:sz w:val="24"/>
          <w:szCs w:val="24"/>
          <w:highlight w:val="none"/>
          <w:lang w:eastAsia="zh-CN"/>
        </w:rPr>
        <w:t>利用年产1000吨1-（4-氯苯基）-3-吡唑醇生产装置改造生产（取代）苯基单异氰酸酯系列产品及甲基丙烯酸缩水甘油酯（GMA）产品项目</w:t>
      </w:r>
      <w:r>
        <w:rPr>
          <w:rFonts w:hint="eastAsia"/>
          <w:color w:val="auto"/>
          <w:sz w:val="24"/>
          <w:szCs w:val="24"/>
          <w:highlight w:val="none"/>
          <w:lang w:eastAsia="zh-CN"/>
        </w:rPr>
        <w:t>环境影响评价公众参与说明》内容客观、真实，未包含依法不得公开的国家秘密、商业秘密、个人隐私。如存在弄虚作假、隐瞒欺骗等情况及由此导致的一切后果由</w:t>
      </w:r>
      <w:r>
        <w:rPr>
          <w:rFonts w:hint="eastAsia"/>
          <w:color w:val="auto"/>
          <w:highlight w:val="none"/>
          <w:lang w:val="en-US" w:eastAsia="zh-CN"/>
        </w:rPr>
        <w:t>葫芦岛天启晟业化工有限公司</w:t>
      </w:r>
      <w:r>
        <w:rPr>
          <w:rFonts w:hint="eastAsia"/>
          <w:color w:val="auto"/>
          <w:sz w:val="24"/>
          <w:szCs w:val="24"/>
          <w:highlight w:val="none"/>
          <w:lang w:eastAsia="zh-CN"/>
        </w:rPr>
        <w:t>承担全部责任。</w:t>
      </w:r>
    </w:p>
    <w:p>
      <w:pPr>
        <w:ind w:firstLine="480"/>
        <w:jc w:val="right"/>
        <w:rPr>
          <w:rFonts w:hint="eastAsia"/>
          <w:color w:val="0070C0"/>
          <w:sz w:val="24"/>
          <w:szCs w:val="24"/>
          <w:highlight w:val="none"/>
          <w:lang w:eastAsia="zh-CN"/>
        </w:rPr>
      </w:pPr>
      <w:r>
        <w:rPr>
          <w:rFonts w:hint="eastAsia"/>
          <w:color w:val="0070C0"/>
          <w:sz w:val="24"/>
          <w:szCs w:val="24"/>
          <w:highlight w:val="none"/>
          <w:lang w:eastAsia="zh-CN"/>
        </w:rPr>
        <w:t>　　</w:t>
      </w:r>
    </w:p>
    <w:p>
      <w:pPr>
        <w:ind w:firstLine="480"/>
        <w:jc w:val="right"/>
        <w:rPr>
          <w:rFonts w:hint="eastAsia"/>
          <w:color w:val="0070C0"/>
          <w:sz w:val="24"/>
          <w:szCs w:val="24"/>
          <w:highlight w:val="none"/>
          <w:lang w:eastAsia="zh-CN"/>
        </w:rPr>
      </w:pPr>
      <w:r>
        <w:rPr>
          <w:rFonts w:hint="eastAsia"/>
          <w:color w:val="auto"/>
          <w:sz w:val="24"/>
          <w:szCs w:val="24"/>
          <w:highlight w:val="none"/>
          <w:lang w:eastAsia="zh-CN"/>
        </w:rPr>
        <w:t>承诺单位：</w:t>
      </w:r>
      <w:r>
        <w:rPr>
          <w:rFonts w:hint="eastAsia"/>
          <w:color w:val="auto"/>
          <w:highlight w:val="none"/>
          <w:lang w:val="en-US" w:eastAsia="zh-CN"/>
        </w:rPr>
        <w:t>葫芦岛天启晟业化工有限公司</w:t>
      </w:r>
    </w:p>
    <w:p>
      <w:pPr>
        <w:ind w:firstLine="480"/>
        <w:jc w:val="right"/>
        <w:rPr>
          <w:rFonts w:hint="eastAsia"/>
          <w:b/>
          <w:bCs/>
          <w:lang w:eastAsia="zh-CN"/>
        </w:rPr>
      </w:pPr>
      <w:r>
        <w:rPr>
          <w:rFonts w:hint="eastAsia"/>
          <w:color w:val="0070C0"/>
          <w:sz w:val="24"/>
          <w:szCs w:val="24"/>
          <w:lang w:eastAsia="zh-CN"/>
        </w:rPr>
        <w:t>　</w:t>
      </w:r>
      <w:r>
        <w:rPr>
          <w:rFonts w:hint="eastAsia"/>
          <w:sz w:val="24"/>
          <w:szCs w:val="24"/>
          <w:lang w:eastAsia="zh-CN"/>
        </w:rPr>
        <w:t>　</w:t>
      </w:r>
      <w:r>
        <w:rPr>
          <w:rFonts w:hint="eastAsia" w:ascii="微软雅黑" w:hAnsi="微软雅黑" w:eastAsia="微软雅黑" w:cs="微软雅黑"/>
          <w:color w:val="000000"/>
          <w:sz w:val="24"/>
          <w:szCs w:val="24"/>
          <w:highlight w:val="none"/>
          <w:shd w:val="clear" w:fill="FFFFFF"/>
        </w:rPr>
        <w:t>　</w:t>
      </w:r>
    </w:p>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swiss"/>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0" w:firstLineChars="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0" w:firstLineChars="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0" w:firstLineChars="0"/>
      <w:jc w:val="both"/>
      <w:rPr>
        <w:rFonts w:hint="default"/>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posOffset>2503170</wp:posOffset>
              </wp:positionH>
              <wp:positionV relativeFrom="paragraph">
                <wp:posOffset>3175</wp:posOffset>
              </wp:positionV>
              <wp:extent cx="1828800" cy="1828800"/>
              <wp:effectExtent l="0" t="0" r="0" b="0"/>
              <wp:wrapNone/>
              <wp:docPr id="6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left:197.1pt;margin-top:0.25pt;height:144pt;width:144pt;mso-position-horizontal-relative:margin;mso-wrap-style:none;z-index:251659264;mso-width-relative:page;mso-height-relative:page;" filled="f" stroked="f" coordsize="21600,21600" o:gfxdata="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te5LN9QAAAAIAQAADwAAAAAAAAABACAAAAAiAAAAZHJzL2Rvd25y&#10;ZXYueG1sUEsBAhQAFAAAAAgAh07iQAtWRDnJAQAAmgMAAA4AAAAAAAAAAQAgAAAAIwEAAGRycy9l&#10;Mm9Eb2MueG1sUEsFBgAAAAAGAAYAWQEAAF4FAAAAAA==&#10;">
              <v:fill on="f" focussize="0,0"/>
              <v:stroke on="f"/>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rPr>
        <w:rFonts w:hint="eastAsia" w:eastAsiaTheme="minorEastAsia"/>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line="240" w:lineRule="auto"/>
      <w:ind w:firstLine="0" w:firstLineChars="0"/>
      <w:jc w:val="right"/>
      <w:rPr>
        <w:rFonts w:hint="default" w:cs="Times New Roman"/>
        <w:bCs/>
        <w:sz w:val="15"/>
        <w:szCs w:val="15"/>
        <w:lang w:val="en-US" w:eastAsia="zh-CN"/>
      </w:rPr>
    </w:pPr>
    <w:r>
      <w:rPr>
        <w:rFonts w:hint="default" w:ascii="Times New Roman" w:hAnsi="Times New Roman" w:eastAsia="宋体" w:cs="Times New Roman"/>
        <w:b w:val="0"/>
        <w:bCs w:val="0"/>
        <w:color w:val="auto"/>
        <w:sz w:val="13"/>
        <w:szCs w:val="13"/>
        <w:lang w:val="en-US" w:eastAsia="zh-CN"/>
      </w:rPr>
      <w:t>利用年产1000吨1-（4-氯苯基）-3-吡唑醇生产装置改造生产（取代）苯基单异氰酸酯系列</w:t>
    </w:r>
    <w:r>
      <w:rPr>
        <w:rFonts w:hint="default" w:ascii="Times New Roman" w:hAnsi="Times New Roman" w:eastAsia="宋体" w:cs="Times New Roman"/>
        <w:b w:val="0"/>
        <w:bCs w:val="0"/>
        <w:color w:val="auto"/>
        <w:sz w:val="13"/>
        <w:szCs w:val="13"/>
      </w:rPr>
      <w:t>产品及甲基丙烯酸缩水甘油酯</w:t>
    </w:r>
    <w:r>
      <w:rPr>
        <w:rFonts w:hint="default" w:ascii="Times New Roman" w:hAnsi="Times New Roman" w:eastAsia="宋体" w:cs="Times New Roman"/>
        <w:b w:val="0"/>
        <w:bCs w:val="0"/>
        <w:color w:val="auto"/>
        <w:sz w:val="13"/>
        <w:szCs w:val="13"/>
        <w:lang w:eastAsia="zh-CN"/>
      </w:rPr>
      <w:t>（</w:t>
    </w:r>
    <w:r>
      <w:rPr>
        <w:rFonts w:hint="default" w:ascii="Times New Roman" w:hAnsi="Times New Roman" w:eastAsia="宋体" w:cs="Times New Roman"/>
        <w:b w:val="0"/>
        <w:bCs w:val="0"/>
        <w:color w:val="auto"/>
        <w:sz w:val="13"/>
        <w:szCs w:val="13"/>
        <w:lang w:val="en-US" w:eastAsia="zh-CN"/>
      </w:rPr>
      <w:t>GMA</w:t>
    </w:r>
    <w:r>
      <w:rPr>
        <w:rFonts w:hint="default" w:ascii="Times New Roman" w:hAnsi="Times New Roman" w:eastAsia="宋体" w:cs="Times New Roman"/>
        <w:b w:val="0"/>
        <w:bCs w:val="0"/>
        <w:color w:val="auto"/>
        <w:sz w:val="13"/>
        <w:szCs w:val="13"/>
        <w:lang w:eastAsia="zh-CN"/>
      </w:rPr>
      <w:t>）</w:t>
    </w:r>
    <w:r>
      <w:rPr>
        <w:rFonts w:hint="default" w:ascii="Times New Roman" w:hAnsi="Times New Roman" w:eastAsia="宋体" w:cs="Times New Roman"/>
        <w:b w:val="0"/>
        <w:bCs w:val="0"/>
        <w:color w:val="auto"/>
        <w:sz w:val="13"/>
        <w:szCs w:val="13"/>
      </w:rPr>
      <w:t>产品项目</w:t>
    </w:r>
  </w:p>
  <w:p>
    <w:pPr>
      <w:pStyle w:val="17"/>
      <w:pBdr>
        <w:bottom w:val="none" w:color="auto" w:sz="0" w:space="1"/>
      </w:pBdr>
      <w:jc w:val="right"/>
      <w:rPr>
        <w:rFonts w:hint="default" w:cs="Times New Roman"/>
        <w:bCs/>
        <w:sz w:val="15"/>
        <w:szCs w:val="15"/>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line="240" w:lineRule="auto"/>
      <w:ind w:firstLine="0" w:firstLineChars="0"/>
      <w:jc w:val="right"/>
      <w:rPr>
        <w:rFonts w:hint="default" w:cs="Times New Roman"/>
        <w:bCs/>
        <w:sz w:val="15"/>
        <w:szCs w:val="15"/>
        <w:lang w:val="en-US" w:eastAsia="zh-CN"/>
      </w:rPr>
    </w:pPr>
    <w:r>
      <w:rPr>
        <w:rFonts w:hint="default" w:ascii="Times New Roman" w:hAnsi="Times New Roman" w:eastAsia="宋体" w:cs="Times New Roman"/>
        <w:b w:val="0"/>
        <w:bCs w:val="0"/>
        <w:color w:val="auto"/>
        <w:sz w:val="13"/>
        <w:szCs w:val="13"/>
        <w:lang w:val="en-US" w:eastAsia="zh-CN"/>
      </w:rPr>
      <w:t>利用年产1000吨1-（4-氯苯基）-3-吡唑醇生产装置改造生产（取代）苯基单异氰酸酯系列</w:t>
    </w:r>
    <w:r>
      <w:rPr>
        <w:rFonts w:hint="default" w:ascii="Times New Roman" w:hAnsi="Times New Roman" w:eastAsia="宋体" w:cs="Times New Roman"/>
        <w:b w:val="0"/>
        <w:bCs w:val="0"/>
        <w:color w:val="auto"/>
        <w:sz w:val="13"/>
        <w:szCs w:val="13"/>
      </w:rPr>
      <w:t>产品及甲基丙烯酸缩水甘油酯</w:t>
    </w:r>
    <w:r>
      <w:rPr>
        <w:rFonts w:hint="default" w:ascii="Times New Roman" w:hAnsi="Times New Roman" w:eastAsia="宋体" w:cs="Times New Roman"/>
        <w:b w:val="0"/>
        <w:bCs w:val="0"/>
        <w:color w:val="auto"/>
        <w:sz w:val="13"/>
        <w:szCs w:val="13"/>
        <w:lang w:eastAsia="zh-CN"/>
      </w:rPr>
      <w:t>（</w:t>
    </w:r>
    <w:r>
      <w:rPr>
        <w:rFonts w:hint="default" w:ascii="Times New Roman" w:hAnsi="Times New Roman" w:eastAsia="宋体" w:cs="Times New Roman"/>
        <w:b w:val="0"/>
        <w:bCs w:val="0"/>
        <w:color w:val="auto"/>
        <w:sz w:val="13"/>
        <w:szCs w:val="13"/>
        <w:lang w:val="en-US" w:eastAsia="zh-CN"/>
      </w:rPr>
      <w:t>GMA</w:t>
    </w:r>
    <w:r>
      <w:rPr>
        <w:rFonts w:hint="default" w:ascii="Times New Roman" w:hAnsi="Times New Roman" w:eastAsia="宋体" w:cs="Times New Roman"/>
        <w:b w:val="0"/>
        <w:bCs w:val="0"/>
        <w:color w:val="auto"/>
        <w:sz w:val="13"/>
        <w:szCs w:val="13"/>
        <w:lang w:eastAsia="zh-CN"/>
      </w:rPr>
      <w:t>）</w:t>
    </w:r>
    <w:r>
      <w:rPr>
        <w:rFonts w:hint="default" w:ascii="Times New Roman" w:hAnsi="Times New Roman" w:eastAsia="宋体" w:cs="Times New Roman"/>
        <w:b w:val="0"/>
        <w:bCs w:val="0"/>
        <w:color w:val="auto"/>
        <w:sz w:val="13"/>
        <w:szCs w:val="13"/>
      </w:rPr>
      <w:t>产品项目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7C291E"/>
    <w:multiLevelType w:val="singleLevel"/>
    <w:tmpl w:val="B07C291E"/>
    <w:lvl w:ilvl="0" w:tentative="0">
      <w:start w:val="1"/>
      <w:numFmt w:val="decimal"/>
      <w:lvlText w:val="%1."/>
      <w:lvlJc w:val="left"/>
      <w:pPr>
        <w:ind w:left="425" w:hanging="425"/>
      </w:pPr>
      <w:rPr>
        <w:rFonts w:hint="default"/>
      </w:rPr>
    </w:lvl>
  </w:abstractNum>
  <w:abstractNum w:abstractNumId="1">
    <w:nsid w:val="E8F37A68"/>
    <w:multiLevelType w:val="multilevel"/>
    <w:tmpl w:val="E8F37A68"/>
    <w:lvl w:ilvl="0" w:tentative="0">
      <w:start w:val="1"/>
      <w:numFmt w:val="decimal"/>
      <w:pStyle w:val="3"/>
      <w:lvlText w:val="%1."/>
      <w:lvlJc w:val="left"/>
      <w:pPr>
        <w:ind w:left="432" w:hanging="432"/>
      </w:pPr>
      <w:rPr>
        <w:rFonts w:hint="default"/>
      </w:rPr>
    </w:lvl>
    <w:lvl w:ilvl="1" w:tentative="0">
      <w:start w:val="1"/>
      <w:numFmt w:val="decimal"/>
      <w:pStyle w:val="4"/>
      <w:lvlText w:val="%1.%2."/>
      <w:lvlJc w:val="left"/>
      <w:pPr>
        <w:ind w:left="575" w:hanging="575"/>
      </w:pPr>
      <w:rPr>
        <w:rFonts w:hint="default"/>
      </w:rPr>
    </w:lvl>
    <w:lvl w:ilvl="2" w:tentative="0">
      <w:start w:val="1"/>
      <w:numFmt w:val="decimal"/>
      <w:pStyle w:val="5"/>
      <w:lvlText w:val="%1.%2.%3."/>
      <w:lvlJc w:val="left"/>
      <w:pPr>
        <w:ind w:left="720" w:hanging="720"/>
      </w:pPr>
      <w:rPr>
        <w:rFonts w:hint="default"/>
      </w:rPr>
    </w:lvl>
    <w:lvl w:ilvl="3" w:tentative="0">
      <w:start w:val="1"/>
      <w:numFmt w:val="decimal"/>
      <w:pStyle w:val="6"/>
      <w:lvlText w:val="%1.%2.%3.%4."/>
      <w:lvlJc w:val="left"/>
      <w:pPr>
        <w:ind w:left="864" w:hanging="864"/>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abstractNum w:abstractNumId="2">
    <w:nsid w:val="29BA08E7"/>
    <w:multiLevelType w:val="singleLevel"/>
    <w:tmpl w:val="29BA08E7"/>
    <w:lvl w:ilvl="0" w:tentative="0">
      <w:start w:val="1"/>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ZiYjFmNDY5NDUxYmRiMjkzZTQ5MzZiMzY3YjQ5NzkifQ=="/>
  </w:docVars>
  <w:rsids>
    <w:rsidRoot w:val="00105973"/>
    <w:rsid w:val="000478B6"/>
    <w:rsid w:val="000F3076"/>
    <w:rsid w:val="000F74DB"/>
    <w:rsid w:val="00105973"/>
    <w:rsid w:val="00177879"/>
    <w:rsid w:val="002058D7"/>
    <w:rsid w:val="003A176B"/>
    <w:rsid w:val="003C2553"/>
    <w:rsid w:val="00436330"/>
    <w:rsid w:val="00436F9B"/>
    <w:rsid w:val="00444BC0"/>
    <w:rsid w:val="004A38F6"/>
    <w:rsid w:val="005161F5"/>
    <w:rsid w:val="005A30D3"/>
    <w:rsid w:val="005E3BEC"/>
    <w:rsid w:val="00671A3B"/>
    <w:rsid w:val="00692ACE"/>
    <w:rsid w:val="0077375A"/>
    <w:rsid w:val="007A56BF"/>
    <w:rsid w:val="00A875AC"/>
    <w:rsid w:val="00B71D58"/>
    <w:rsid w:val="00B95DBB"/>
    <w:rsid w:val="00CC2E0D"/>
    <w:rsid w:val="00DE0239"/>
    <w:rsid w:val="00E220B9"/>
    <w:rsid w:val="00E7160D"/>
    <w:rsid w:val="00E850CE"/>
    <w:rsid w:val="00EE339C"/>
    <w:rsid w:val="00F91789"/>
    <w:rsid w:val="00F97940"/>
    <w:rsid w:val="010D13B9"/>
    <w:rsid w:val="01322E7E"/>
    <w:rsid w:val="01D42BE5"/>
    <w:rsid w:val="030A2300"/>
    <w:rsid w:val="03895DE1"/>
    <w:rsid w:val="046E5471"/>
    <w:rsid w:val="048D059E"/>
    <w:rsid w:val="04BA45CB"/>
    <w:rsid w:val="056925F6"/>
    <w:rsid w:val="06424945"/>
    <w:rsid w:val="08A603D1"/>
    <w:rsid w:val="093C52D8"/>
    <w:rsid w:val="09584EF7"/>
    <w:rsid w:val="099A5106"/>
    <w:rsid w:val="0A0A7AE0"/>
    <w:rsid w:val="0A702213"/>
    <w:rsid w:val="0C3A12B3"/>
    <w:rsid w:val="0CD43113"/>
    <w:rsid w:val="0D235043"/>
    <w:rsid w:val="0F344C0D"/>
    <w:rsid w:val="11C17005"/>
    <w:rsid w:val="126529BB"/>
    <w:rsid w:val="13AF236A"/>
    <w:rsid w:val="13B66BC7"/>
    <w:rsid w:val="16D824E9"/>
    <w:rsid w:val="174F5B2B"/>
    <w:rsid w:val="18791BE1"/>
    <w:rsid w:val="19AD075B"/>
    <w:rsid w:val="19EC2281"/>
    <w:rsid w:val="19F90009"/>
    <w:rsid w:val="1C8A3440"/>
    <w:rsid w:val="1D093070"/>
    <w:rsid w:val="1D124478"/>
    <w:rsid w:val="202518CC"/>
    <w:rsid w:val="20851E89"/>
    <w:rsid w:val="2138619A"/>
    <w:rsid w:val="21CD39D2"/>
    <w:rsid w:val="2251190A"/>
    <w:rsid w:val="226A7FB6"/>
    <w:rsid w:val="23840954"/>
    <w:rsid w:val="23841101"/>
    <w:rsid w:val="247B6B20"/>
    <w:rsid w:val="24985501"/>
    <w:rsid w:val="269A1B05"/>
    <w:rsid w:val="26F81AFA"/>
    <w:rsid w:val="270A79DF"/>
    <w:rsid w:val="27A97E73"/>
    <w:rsid w:val="2B6E482A"/>
    <w:rsid w:val="2BD16F19"/>
    <w:rsid w:val="2C192396"/>
    <w:rsid w:val="2CE806F3"/>
    <w:rsid w:val="2D767134"/>
    <w:rsid w:val="2E331436"/>
    <w:rsid w:val="2EDE7EEF"/>
    <w:rsid w:val="30091289"/>
    <w:rsid w:val="30201190"/>
    <w:rsid w:val="3046554D"/>
    <w:rsid w:val="3073175A"/>
    <w:rsid w:val="32FD1B59"/>
    <w:rsid w:val="33A70B3E"/>
    <w:rsid w:val="33C73F4A"/>
    <w:rsid w:val="354C0FC5"/>
    <w:rsid w:val="35BE2F7C"/>
    <w:rsid w:val="366A13C3"/>
    <w:rsid w:val="3670350B"/>
    <w:rsid w:val="37A57B73"/>
    <w:rsid w:val="384664B2"/>
    <w:rsid w:val="38CE28C0"/>
    <w:rsid w:val="39F94B2B"/>
    <w:rsid w:val="3A2A584B"/>
    <w:rsid w:val="3AF466D2"/>
    <w:rsid w:val="3B9D48F9"/>
    <w:rsid w:val="3C6826CA"/>
    <w:rsid w:val="3F064DFB"/>
    <w:rsid w:val="3F523D66"/>
    <w:rsid w:val="3FDB2873"/>
    <w:rsid w:val="40CB586A"/>
    <w:rsid w:val="40E55257"/>
    <w:rsid w:val="41E30AAB"/>
    <w:rsid w:val="435C52ED"/>
    <w:rsid w:val="44A13BE1"/>
    <w:rsid w:val="44D67C51"/>
    <w:rsid w:val="453870C6"/>
    <w:rsid w:val="45D4252C"/>
    <w:rsid w:val="46A10336"/>
    <w:rsid w:val="48BA04BF"/>
    <w:rsid w:val="49845520"/>
    <w:rsid w:val="4C4A4E6A"/>
    <w:rsid w:val="51031408"/>
    <w:rsid w:val="51101867"/>
    <w:rsid w:val="55470CFB"/>
    <w:rsid w:val="55870E77"/>
    <w:rsid w:val="55AB4CE6"/>
    <w:rsid w:val="55C62326"/>
    <w:rsid w:val="55D16715"/>
    <w:rsid w:val="55FC1DA8"/>
    <w:rsid w:val="56D04DB0"/>
    <w:rsid w:val="57C15056"/>
    <w:rsid w:val="587F65E5"/>
    <w:rsid w:val="5C3C364E"/>
    <w:rsid w:val="5C9C5C62"/>
    <w:rsid w:val="5D5747E2"/>
    <w:rsid w:val="5DEA1A9D"/>
    <w:rsid w:val="5F657868"/>
    <w:rsid w:val="616A24CE"/>
    <w:rsid w:val="61894D49"/>
    <w:rsid w:val="61C34F91"/>
    <w:rsid w:val="6349241A"/>
    <w:rsid w:val="638F68F8"/>
    <w:rsid w:val="64B00EB4"/>
    <w:rsid w:val="65114E57"/>
    <w:rsid w:val="65275C7F"/>
    <w:rsid w:val="686947A6"/>
    <w:rsid w:val="69FA1D64"/>
    <w:rsid w:val="6BD52A83"/>
    <w:rsid w:val="6C4A6EAE"/>
    <w:rsid w:val="6C5E6E11"/>
    <w:rsid w:val="6D9600E8"/>
    <w:rsid w:val="6F3848CB"/>
    <w:rsid w:val="706D6358"/>
    <w:rsid w:val="70D21D96"/>
    <w:rsid w:val="71044D7C"/>
    <w:rsid w:val="718D0956"/>
    <w:rsid w:val="74900025"/>
    <w:rsid w:val="74B93BCE"/>
    <w:rsid w:val="756328C2"/>
    <w:rsid w:val="75D84584"/>
    <w:rsid w:val="769D5D8D"/>
    <w:rsid w:val="76CB4E76"/>
    <w:rsid w:val="771A3A08"/>
    <w:rsid w:val="791E2BCD"/>
    <w:rsid w:val="798575B4"/>
    <w:rsid w:val="7A2E0574"/>
    <w:rsid w:val="7A6556AB"/>
    <w:rsid w:val="7AF05DE0"/>
    <w:rsid w:val="7B4771F2"/>
    <w:rsid w:val="7B7C28BC"/>
    <w:rsid w:val="7E083A38"/>
    <w:rsid w:val="7E365CF7"/>
    <w:rsid w:val="7E4A793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Theme="minorEastAsia" w:cstheme="minorBidi"/>
      <w:kern w:val="2"/>
      <w:sz w:val="24"/>
      <w:szCs w:val="22"/>
      <w:lang w:val="en-US" w:eastAsia="zh-CN" w:bidi="ar-SA"/>
    </w:rPr>
  </w:style>
  <w:style w:type="paragraph" w:styleId="3">
    <w:name w:val="heading 1"/>
    <w:basedOn w:val="1"/>
    <w:next w:val="1"/>
    <w:link w:val="33"/>
    <w:qFormat/>
    <w:uiPriority w:val="9"/>
    <w:pPr>
      <w:keepNext/>
      <w:keepLines/>
      <w:numPr>
        <w:ilvl w:val="0"/>
        <w:numId w:val="1"/>
      </w:numPr>
      <w:ind w:left="432" w:hanging="432" w:firstLineChars="0"/>
      <w:outlineLvl w:val="0"/>
    </w:pPr>
    <w:rPr>
      <w:b/>
      <w:bCs/>
      <w:kern w:val="44"/>
      <w:sz w:val="30"/>
      <w:szCs w:val="44"/>
    </w:rPr>
  </w:style>
  <w:style w:type="paragraph" w:styleId="4">
    <w:name w:val="heading 2"/>
    <w:basedOn w:val="1"/>
    <w:next w:val="1"/>
    <w:link w:val="26"/>
    <w:unhideWhenUsed/>
    <w:qFormat/>
    <w:uiPriority w:val="9"/>
    <w:pPr>
      <w:keepNext/>
      <w:keepLines/>
      <w:numPr>
        <w:ilvl w:val="1"/>
        <w:numId w:val="1"/>
      </w:numPr>
      <w:ind w:left="0" w:firstLine="271" w:firstLineChars="75"/>
      <w:outlineLvl w:val="1"/>
    </w:pPr>
    <w:rPr>
      <w:rFonts w:ascii="Times New Roman" w:hAnsi="Times New Roman" w:eastAsiaTheme="majorEastAsia" w:cstheme="majorBidi"/>
      <w:b/>
      <w:bCs/>
      <w:sz w:val="28"/>
      <w:szCs w:val="32"/>
    </w:rPr>
  </w:style>
  <w:style w:type="paragraph" w:styleId="5">
    <w:name w:val="heading 3"/>
    <w:basedOn w:val="1"/>
    <w:next w:val="1"/>
    <w:unhideWhenUsed/>
    <w:qFormat/>
    <w:uiPriority w:val="9"/>
    <w:pPr>
      <w:keepNext/>
      <w:keepLines/>
      <w:numPr>
        <w:ilvl w:val="2"/>
        <w:numId w:val="1"/>
      </w:numPr>
      <w:spacing w:beforeLines="0" w:beforeAutospacing="0" w:afterLines="0" w:afterAutospacing="0" w:line="360" w:lineRule="auto"/>
      <w:ind w:left="960" w:leftChars="100" w:firstLine="0" w:firstLineChars="0"/>
      <w:outlineLvl w:val="2"/>
    </w:pPr>
    <w:rPr>
      <w:rFonts w:ascii="Times New Roman" w:hAnsi="Times New Roman"/>
    </w:rPr>
  </w:style>
  <w:style w:type="paragraph" w:styleId="6">
    <w:name w:val="heading 4"/>
    <w:basedOn w:val="1"/>
    <w:next w:val="1"/>
    <w:qFormat/>
    <w:uiPriority w:val="0"/>
    <w:pPr>
      <w:keepNext/>
      <w:keepLines/>
      <w:numPr>
        <w:ilvl w:val="3"/>
        <w:numId w:val="1"/>
      </w:numPr>
      <w:spacing w:before="280" w:beforeLines="0" w:beforeAutospacing="0" w:after="290" w:afterLines="0" w:afterAutospacing="0" w:line="372" w:lineRule="auto"/>
      <w:ind w:left="864" w:hanging="864" w:firstLineChars="0"/>
      <w:outlineLvl w:val="3"/>
    </w:pPr>
    <w:rPr>
      <w:rFonts w:ascii="Arial" w:hAnsi="Arial" w:eastAsia="黑体"/>
      <w:b/>
      <w:sz w:val="28"/>
    </w:rPr>
  </w:style>
  <w:style w:type="paragraph" w:styleId="7">
    <w:name w:val="heading 5"/>
    <w:basedOn w:val="1"/>
    <w:next w:val="1"/>
    <w:semiHidden/>
    <w:unhideWhenUsed/>
    <w:qFormat/>
    <w:uiPriority w:val="9"/>
    <w:pPr>
      <w:keepNext/>
      <w:keepLines/>
      <w:numPr>
        <w:ilvl w:val="4"/>
        <w:numId w:val="1"/>
      </w:numPr>
      <w:spacing w:before="280" w:beforeLines="0" w:beforeAutospacing="0" w:after="290" w:afterLines="0" w:afterAutospacing="0" w:line="372" w:lineRule="auto"/>
      <w:ind w:left="1008" w:hanging="1008" w:firstLineChars="0"/>
      <w:outlineLvl w:val="4"/>
    </w:pPr>
    <w:rPr>
      <w:b/>
      <w:sz w:val="28"/>
    </w:rPr>
  </w:style>
  <w:style w:type="paragraph" w:styleId="8">
    <w:name w:val="heading 6"/>
    <w:basedOn w:val="1"/>
    <w:next w:val="1"/>
    <w:semiHidden/>
    <w:unhideWhenUsed/>
    <w:qFormat/>
    <w:uiPriority w:val="9"/>
    <w:pPr>
      <w:keepNext/>
      <w:keepLines/>
      <w:numPr>
        <w:ilvl w:val="5"/>
        <w:numId w:val="1"/>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9">
    <w:name w:val="heading 7"/>
    <w:basedOn w:val="1"/>
    <w:next w:val="1"/>
    <w:semiHidden/>
    <w:unhideWhenUsed/>
    <w:qFormat/>
    <w:uiPriority w:val="9"/>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10">
    <w:name w:val="heading 8"/>
    <w:basedOn w:val="1"/>
    <w:next w:val="1"/>
    <w:semiHidden/>
    <w:unhideWhenUsed/>
    <w:qFormat/>
    <w:uiPriority w:val="9"/>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1">
    <w:name w:val="heading 9"/>
    <w:basedOn w:val="1"/>
    <w:next w:val="1"/>
    <w:semiHidden/>
    <w:unhideWhenUsed/>
    <w:qFormat/>
    <w:uiPriority w:val="9"/>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23">
    <w:name w:val="Default Paragraph Font"/>
    <w:unhideWhenUsed/>
    <w:qFormat/>
    <w:uiPriority w:val="1"/>
  </w:style>
  <w:style w:type="table" w:default="1" w:styleId="21">
    <w:name w:val="Normal Table"/>
    <w:unhideWhenUsed/>
    <w:qFormat/>
    <w:uiPriority w:val="99"/>
    <w:tblPr>
      <w:tblCellMar>
        <w:top w:w="0" w:type="dxa"/>
        <w:left w:w="108" w:type="dxa"/>
        <w:bottom w:w="0" w:type="dxa"/>
        <w:right w:w="108" w:type="dxa"/>
      </w:tblCellMar>
    </w:tblPr>
  </w:style>
  <w:style w:type="paragraph" w:styleId="2">
    <w:name w:val="Body Text Indent 2"/>
    <w:basedOn w:val="1"/>
    <w:semiHidden/>
    <w:unhideWhenUsed/>
    <w:qFormat/>
    <w:uiPriority w:val="99"/>
    <w:pPr>
      <w:spacing w:after="120" w:afterLines="0" w:afterAutospacing="0" w:line="480" w:lineRule="auto"/>
      <w:ind w:left="420" w:leftChars="200"/>
    </w:pPr>
  </w:style>
  <w:style w:type="paragraph" w:styleId="12">
    <w:name w:val="Normal Indent"/>
    <w:basedOn w:val="1"/>
    <w:link w:val="29"/>
    <w:qFormat/>
    <w:uiPriority w:val="0"/>
    <w:pPr>
      <w:ind w:firstLine="420"/>
    </w:pPr>
    <w:rPr>
      <w:rFonts w:eastAsia="宋体"/>
    </w:rPr>
  </w:style>
  <w:style w:type="paragraph" w:styleId="13">
    <w:name w:val="Document Map"/>
    <w:basedOn w:val="1"/>
    <w:link w:val="34"/>
    <w:unhideWhenUsed/>
    <w:qFormat/>
    <w:uiPriority w:val="99"/>
    <w:rPr>
      <w:rFonts w:ascii="宋体" w:eastAsia="宋体"/>
      <w:sz w:val="18"/>
      <w:szCs w:val="18"/>
    </w:rPr>
  </w:style>
  <w:style w:type="paragraph" w:styleId="14">
    <w:name w:val="annotation text"/>
    <w:basedOn w:val="1"/>
    <w:qFormat/>
    <w:uiPriority w:val="0"/>
    <w:pPr>
      <w:jc w:val="left"/>
    </w:pPr>
  </w:style>
  <w:style w:type="paragraph" w:styleId="15">
    <w:name w:val="Balloon Text"/>
    <w:basedOn w:val="1"/>
    <w:link w:val="30"/>
    <w:unhideWhenUsed/>
    <w:qFormat/>
    <w:uiPriority w:val="99"/>
    <w:rPr>
      <w:sz w:val="18"/>
      <w:szCs w:val="18"/>
    </w:rPr>
  </w:style>
  <w:style w:type="paragraph" w:styleId="16">
    <w:name w:val="footer"/>
    <w:basedOn w:val="1"/>
    <w:next w:val="1"/>
    <w:link w:val="28"/>
    <w:unhideWhenUsed/>
    <w:qFormat/>
    <w:uiPriority w:val="99"/>
    <w:pPr>
      <w:tabs>
        <w:tab w:val="center" w:pos="4153"/>
        <w:tab w:val="right" w:pos="8306"/>
      </w:tabs>
      <w:snapToGrid w:val="0"/>
      <w:jc w:val="left"/>
    </w:pPr>
    <w:rPr>
      <w:sz w:val="18"/>
      <w:szCs w:val="18"/>
    </w:rPr>
  </w:style>
  <w:style w:type="paragraph" w:styleId="17">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tabs>
        <w:tab w:val="right" w:leader="dot" w:pos="8296"/>
      </w:tabs>
      <w:ind w:firstLine="0" w:firstLineChars="0"/>
    </w:pPr>
    <w:rPr>
      <w:b/>
    </w:rPr>
  </w:style>
  <w:style w:type="paragraph" w:styleId="19">
    <w:name w:val="toc 2"/>
    <w:basedOn w:val="1"/>
    <w:next w:val="1"/>
    <w:unhideWhenUsed/>
    <w:qFormat/>
    <w:uiPriority w:val="39"/>
    <w:pPr>
      <w:ind w:left="420" w:leftChars="200"/>
    </w:pPr>
  </w:style>
  <w:style w:type="paragraph" w:styleId="20">
    <w:name w:val="Normal (Web)"/>
    <w:basedOn w:val="1"/>
    <w:qFormat/>
    <w:uiPriority w:val="0"/>
    <w:pPr>
      <w:spacing w:before="0" w:beforeAutospacing="1" w:after="0" w:afterAutospacing="1"/>
      <w:ind w:left="0" w:right="0"/>
      <w:jc w:val="left"/>
    </w:pPr>
    <w:rPr>
      <w:kern w:val="0"/>
      <w:sz w:val="24"/>
      <w:lang w:val="en-US" w:eastAsia="zh-CN" w:bidi="ar"/>
    </w:rPr>
  </w:style>
  <w:style w:type="table" w:styleId="22">
    <w:name w:val="Table Grid"/>
    <w:basedOn w:val="2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Hyperlink"/>
    <w:basedOn w:val="23"/>
    <w:unhideWhenUsed/>
    <w:qFormat/>
    <w:uiPriority w:val="99"/>
    <w:rPr>
      <w:color w:val="0000FF" w:themeColor="hyperlink"/>
      <w:u w:val="single"/>
      <w14:textFill>
        <w14:solidFill>
          <w14:schemeClr w14:val="hlink"/>
        </w14:solidFill>
      </w14:textFill>
    </w:rPr>
  </w:style>
  <w:style w:type="character" w:customStyle="1" w:styleId="26">
    <w:name w:val="标题 2 Char"/>
    <w:basedOn w:val="23"/>
    <w:link w:val="4"/>
    <w:qFormat/>
    <w:uiPriority w:val="9"/>
    <w:rPr>
      <w:rFonts w:ascii="Times New Roman" w:hAnsi="Times New Roman" w:eastAsiaTheme="majorEastAsia" w:cstheme="majorBidi"/>
      <w:b/>
      <w:bCs/>
      <w:sz w:val="28"/>
      <w:szCs w:val="32"/>
    </w:rPr>
  </w:style>
  <w:style w:type="character" w:customStyle="1" w:styleId="27">
    <w:name w:val="页眉 Char"/>
    <w:basedOn w:val="23"/>
    <w:link w:val="17"/>
    <w:qFormat/>
    <w:uiPriority w:val="99"/>
    <w:rPr>
      <w:sz w:val="18"/>
      <w:szCs w:val="18"/>
    </w:rPr>
  </w:style>
  <w:style w:type="character" w:customStyle="1" w:styleId="28">
    <w:name w:val="页脚 Char"/>
    <w:basedOn w:val="23"/>
    <w:link w:val="16"/>
    <w:semiHidden/>
    <w:qFormat/>
    <w:uiPriority w:val="99"/>
    <w:rPr>
      <w:sz w:val="18"/>
      <w:szCs w:val="18"/>
    </w:rPr>
  </w:style>
  <w:style w:type="character" w:customStyle="1" w:styleId="29">
    <w:name w:val="正文缩进 Char"/>
    <w:link w:val="12"/>
    <w:qFormat/>
    <w:uiPriority w:val="0"/>
    <w:rPr>
      <w:rFonts w:eastAsia="宋体"/>
    </w:rPr>
  </w:style>
  <w:style w:type="character" w:customStyle="1" w:styleId="30">
    <w:name w:val="批注框文本 Char"/>
    <w:basedOn w:val="23"/>
    <w:link w:val="15"/>
    <w:semiHidden/>
    <w:qFormat/>
    <w:uiPriority w:val="99"/>
    <w:rPr>
      <w:sz w:val="18"/>
      <w:szCs w:val="18"/>
    </w:rPr>
  </w:style>
  <w:style w:type="paragraph" w:customStyle="1" w:styleId="31">
    <w:name w:val="表格文字"/>
    <w:basedOn w:val="1"/>
    <w:qFormat/>
    <w:uiPriority w:val="0"/>
    <w:pPr>
      <w:autoSpaceDE w:val="0"/>
      <w:autoSpaceDN w:val="0"/>
      <w:adjustRightInd w:val="0"/>
      <w:spacing w:before="60" w:after="60"/>
      <w:jc w:val="left"/>
      <w:textAlignment w:val="bottom"/>
    </w:pPr>
    <w:rPr>
      <w:rFonts w:eastAsia="楷体_GB2312" w:cs="Times New Roman"/>
      <w:spacing w:val="-10"/>
      <w:kern w:val="0"/>
      <w:szCs w:val="20"/>
    </w:rPr>
  </w:style>
  <w:style w:type="paragraph" w:customStyle="1" w:styleId="32">
    <w:name w:val="List Paragraph"/>
    <w:basedOn w:val="1"/>
    <w:qFormat/>
    <w:uiPriority w:val="34"/>
    <w:pPr>
      <w:ind w:firstLine="420"/>
    </w:pPr>
  </w:style>
  <w:style w:type="character" w:customStyle="1" w:styleId="33">
    <w:name w:val="标题 1 Char"/>
    <w:basedOn w:val="23"/>
    <w:link w:val="3"/>
    <w:qFormat/>
    <w:uiPriority w:val="9"/>
    <w:rPr>
      <w:rFonts w:ascii="Times New Roman" w:hAnsi="Times New Roman"/>
      <w:b/>
      <w:bCs/>
      <w:kern w:val="44"/>
      <w:sz w:val="30"/>
      <w:szCs w:val="44"/>
    </w:rPr>
  </w:style>
  <w:style w:type="character" w:customStyle="1" w:styleId="34">
    <w:name w:val="文档结构图 Char"/>
    <w:basedOn w:val="23"/>
    <w:link w:val="13"/>
    <w:semiHidden/>
    <w:qFormat/>
    <w:uiPriority w:val="99"/>
    <w:rPr>
      <w:rFonts w:ascii="宋体" w:hAnsi="Times New Roman" w:eastAsia="宋体"/>
      <w:sz w:val="18"/>
      <w:szCs w:val="18"/>
    </w:rPr>
  </w:style>
  <w:style w:type="paragraph" w:customStyle="1" w:styleId="35">
    <w:name w:val="标题1.1-报告书"/>
    <w:qFormat/>
    <w:uiPriority w:val="0"/>
    <w:pPr>
      <w:spacing w:before="50" w:beforeLines="50" w:after="50" w:afterLines="50" w:line="360" w:lineRule="auto"/>
      <w:outlineLvl w:val="1"/>
    </w:pPr>
    <w:rPr>
      <w:rFonts w:ascii="Times New Roman" w:hAnsi="Times New Roman" w:eastAsia="宋体" w:cs="Times New Roman"/>
      <w:b/>
      <w:bCs/>
      <w:kern w:val="2"/>
      <w:sz w:val="32"/>
      <w:szCs w:val="32"/>
      <w:shd w:val="pct10" w:color="auto" w:fill="FFFFFF"/>
      <w:lang w:val="en-US" w:eastAsia="zh-CN" w:bidi="ar-SA"/>
    </w:rPr>
  </w:style>
  <w:style w:type="paragraph" w:customStyle="1" w:styleId="36">
    <w:name w:val="公参说明一级标题"/>
    <w:basedOn w:val="1"/>
    <w:qFormat/>
    <w:uiPriority w:val="0"/>
    <w:pPr>
      <w:spacing w:beforeLines="50" w:afterLines="50" w:line="360" w:lineRule="auto"/>
    </w:pPr>
    <w:rPr>
      <w:rFonts w:ascii="Times New Roman" w:hAnsi="Times New Roman"/>
      <w:b/>
      <w:sz w:val="32"/>
    </w:rPr>
  </w:style>
  <w:style w:type="paragraph" w:customStyle="1" w:styleId="37">
    <w:name w:val="科隆正文"/>
    <w:basedOn w:val="1"/>
    <w:qFormat/>
    <w:uiPriority w:val="0"/>
    <w:pPr>
      <w:adjustRightInd w:val="0"/>
      <w:spacing w:line="360" w:lineRule="auto"/>
      <w:ind w:firstLine="600" w:firstLineChars="200"/>
    </w:pPr>
    <w:rPr>
      <w:rFonts w:ascii="Times New Roman" w:hAnsi="Times New Roman" w:eastAsia="宋体" w:cs="Times New Roman"/>
      <w:kern w:val="44"/>
      <w:sz w:val="24"/>
      <w:szCs w:val="30"/>
    </w:rPr>
  </w:style>
  <w:style w:type="paragraph" w:customStyle="1" w:styleId="38">
    <w:name w:val="公众参与说明三级标题"/>
    <w:basedOn w:val="39"/>
    <w:qFormat/>
    <w:uiPriority w:val="0"/>
    <w:pPr>
      <w:ind w:firstLine="0" w:firstLineChars="0"/>
    </w:pPr>
    <w:rPr>
      <w:rFonts w:ascii="Times New Roman" w:hAnsi="Times New Roman" w:cs="Times New Roman"/>
      <w:b/>
      <w:sz w:val="28"/>
      <w:szCs w:val="28"/>
    </w:rPr>
  </w:style>
  <w:style w:type="paragraph" w:customStyle="1" w:styleId="39">
    <w:name w:val="公参说明正文"/>
    <w:basedOn w:val="36"/>
    <w:qFormat/>
    <w:uiPriority w:val="0"/>
    <w:pPr>
      <w:adjustRightInd w:val="0"/>
      <w:snapToGrid w:val="0"/>
      <w:spacing w:beforeLines="0" w:afterLines="0"/>
      <w:ind w:firstLine="480" w:firstLineChars="200"/>
    </w:pPr>
    <w:rPr>
      <w:rFonts w:ascii="宋体" w:hAnsi="宋体" w:eastAsia="宋体"/>
      <w:b w:val="0"/>
      <w:sz w:val="24"/>
    </w:rPr>
  </w:style>
  <w:style w:type="paragraph" w:customStyle="1" w:styleId="40">
    <w:name w:val="环保正文"/>
    <w:basedOn w:val="1"/>
    <w:qFormat/>
    <w:uiPriority w:val="0"/>
    <w:pPr>
      <w:spacing w:line="360" w:lineRule="auto"/>
      <w:ind w:firstLine="200" w:firstLineChars="200"/>
    </w:pPr>
    <w:rPr>
      <w:szCs w:val="22"/>
    </w:rPr>
  </w:style>
  <w:style w:type="paragraph" w:customStyle="1" w:styleId="41">
    <w:name w:val="0正文"/>
    <w:basedOn w:val="1"/>
    <w:qFormat/>
    <w:uiPriority w:val="0"/>
    <w:pPr>
      <w:adjustRightInd w:val="0"/>
      <w:snapToGrid w:val="0"/>
      <w:spacing w:line="360" w:lineRule="auto"/>
      <w:ind w:firstLine="480" w:firstLineChars="200"/>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F0C880-1F20-47A3-BA69-FDBBDD3FC2F0}">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16</Pages>
  <Words>3889</Words>
  <Characters>4156</Characters>
  <Lines>43</Lines>
  <Paragraphs>12</Paragraphs>
  <TotalTime>0</TotalTime>
  <ScaleCrop>false</ScaleCrop>
  <LinksUpToDate>false</LinksUpToDate>
  <CharactersWithSpaces>4417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2017-03-02T02:51:00Z</dcterms:created>
  <dc:creator>Sky123.Org</dc:creator>
  <cp:lastModifiedBy>lrx0412</cp:lastModifiedBy>
  <cp:lastPrinted>2022-08-30T08:17:00Z</cp:lastPrinted>
  <dcterms:modified xsi:type="dcterms:W3CDTF">2023-04-14T06:11:04Z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E94E6ECFFC254C18AF4B9D9767564455</vt:lpwstr>
  </property>
</Properties>
</file>